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49" w:rsidRPr="007566B5" w:rsidRDefault="00B81D4F" w:rsidP="00EA3648">
      <w:pPr>
        <w:pStyle w:val="Footer"/>
        <w:tabs>
          <w:tab w:val="left" w:pos="2340"/>
        </w:tabs>
        <w:spacing w:line="260" w:lineRule="atLeast"/>
        <w:rPr>
          <w:rFonts w:cs="Arial"/>
          <w:szCs w:val="20"/>
        </w:rPr>
      </w:pPr>
      <w:r w:rsidRPr="00B81D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pt;margin-top:-76.5pt;width:269.95pt;height:112.5pt;z-index:251655168">
            <v:imagedata r:id="rId9" o:title=""/>
          </v:shape>
        </w:pict>
      </w:r>
    </w:p>
    <w:p w:rsidR="00253749" w:rsidRPr="00EA3648" w:rsidRDefault="00EA3648" w:rsidP="00EA3648">
      <w:pPr>
        <w:pStyle w:val="Footer"/>
        <w:tabs>
          <w:tab w:val="left" w:pos="2340"/>
        </w:tabs>
        <w:spacing w:line="260" w:lineRule="atLeast"/>
        <w:rPr>
          <w:rFonts w:cs="Arial"/>
          <w:szCs w:val="20"/>
        </w:rPr>
      </w:pPr>
      <w:r w:rsidRPr="00EA3648">
        <w:rPr>
          <w:rFonts w:cs="Arial"/>
          <w:color w:val="808080"/>
          <w:szCs w:val="20"/>
        </w:rPr>
        <w:t>Working together for a</w:t>
      </w:r>
      <w:r w:rsidRPr="00EA3648">
        <w:rPr>
          <w:rFonts w:cs="Arial"/>
          <w:szCs w:val="20"/>
        </w:rPr>
        <w:t xml:space="preserve"> shared future</w:t>
      </w:r>
    </w:p>
    <w:p w:rsidR="00253749" w:rsidRPr="00EA3648" w:rsidRDefault="00253749" w:rsidP="00EA3648">
      <w:pPr>
        <w:pStyle w:val="Footer"/>
        <w:tabs>
          <w:tab w:val="left" w:pos="2340"/>
        </w:tabs>
        <w:spacing w:line="260" w:lineRule="atLeast"/>
        <w:rPr>
          <w:rFonts w:cs="Arial"/>
          <w:szCs w:val="20"/>
        </w:rPr>
      </w:pPr>
    </w:p>
    <w:p w:rsidR="00253749" w:rsidRPr="00EA3648" w:rsidRDefault="00253749" w:rsidP="00EA3648">
      <w:pPr>
        <w:pStyle w:val="Footer"/>
        <w:tabs>
          <w:tab w:val="left" w:pos="2340"/>
        </w:tabs>
        <w:spacing w:line="260" w:lineRule="atLeast"/>
        <w:rPr>
          <w:rFonts w:cs="Arial"/>
          <w:szCs w:val="20"/>
        </w:rPr>
      </w:pPr>
    </w:p>
    <w:p w:rsidR="00253749" w:rsidRPr="00EA3648" w:rsidRDefault="00253749" w:rsidP="00EA3648">
      <w:pPr>
        <w:pStyle w:val="Footer"/>
        <w:tabs>
          <w:tab w:val="left" w:pos="2340"/>
        </w:tabs>
        <w:spacing w:line="260" w:lineRule="atLeast"/>
        <w:rPr>
          <w:rFonts w:cs="Arial"/>
          <w:szCs w:val="20"/>
        </w:rPr>
      </w:pPr>
    </w:p>
    <w:p w:rsidR="00253749" w:rsidRPr="00EA3648" w:rsidRDefault="00253749" w:rsidP="00EA3648">
      <w:pPr>
        <w:pStyle w:val="Footer"/>
        <w:tabs>
          <w:tab w:val="left" w:pos="2340"/>
        </w:tabs>
        <w:spacing w:line="260" w:lineRule="atLeast"/>
        <w:rPr>
          <w:rFonts w:cs="Arial"/>
          <w:szCs w:val="20"/>
        </w:rPr>
      </w:pPr>
    </w:p>
    <w:p w:rsidR="00253749" w:rsidRPr="00EA3648" w:rsidRDefault="00253749" w:rsidP="00EA3648">
      <w:pPr>
        <w:pStyle w:val="Footer"/>
        <w:tabs>
          <w:tab w:val="left" w:pos="2340"/>
        </w:tabs>
        <w:spacing w:line="260" w:lineRule="atLeast"/>
        <w:rPr>
          <w:rFonts w:cs="Arial"/>
          <w:szCs w:val="20"/>
        </w:rPr>
      </w:pPr>
    </w:p>
    <w:p w:rsidR="00253749" w:rsidRPr="00EA3648" w:rsidRDefault="00253749" w:rsidP="00EA3648">
      <w:pPr>
        <w:pStyle w:val="Footer"/>
        <w:tabs>
          <w:tab w:val="left" w:pos="2340"/>
        </w:tabs>
        <w:spacing w:line="260" w:lineRule="atLeast"/>
        <w:rPr>
          <w:rFonts w:cs="Arial"/>
          <w:szCs w:val="20"/>
        </w:rPr>
      </w:pPr>
    </w:p>
    <w:p w:rsidR="00253749" w:rsidRPr="00EA3648" w:rsidRDefault="00253749" w:rsidP="00EA3648">
      <w:pPr>
        <w:spacing w:line="260" w:lineRule="atLeast"/>
        <w:rPr>
          <w:rFonts w:cs="Arial"/>
          <w:szCs w:val="20"/>
        </w:rPr>
      </w:pPr>
    </w:p>
    <w:p w:rsidR="00253749" w:rsidRPr="00EA3648" w:rsidRDefault="00253749" w:rsidP="00EA3648">
      <w:pPr>
        <w:spacing w:line="260" w:lineRule="atLeast"/>
        <w:rPr>
          <w:rFonts w:cs="Arial"/>
          <w:szCs w:val="20"/>
        </w:rPr>
      </w:pPr>
    </w:p>
    <w:p w:rsidR="00253749" w:rsidRPr="00B058D2" w:rsidRDefault="00B81D4F" w:rsidP="00B058D2">
      <w:pPr>
        <w:pStyle w:val="Footer"/>
        <w:tabs>
          <w:tab w:val="left" w:pos="2340"/>
        </w:tabs>
        <w:spacing w:line="260" w:lineRule="atLeast"/>
        <w:rPr>
          <w:rFonts w:cs="Arial"/>
          <w:szCs w:val="20"/>
        </w:rPr>
      </w:pPr>
      <w:r w:rsidRPr="00B81D4F">
        <w:rPr>
          <w:noProof/>
        </w:rPr>
        <w:pict>
          <v:shapetype id="_x0000_t202" coordsize="21600,21600" o:spt="202" path="m,l,21600r21600,l21600,xe">
            <v:stroke joinstyle="miter"/>
            <v:path gradientshapeok="t" o:connecttype="rect"/>
          </v:shapetype>
          <v:shape id="Text Box 2" o:spid="_x0000_s1033" type="#_x0000_t202" style="position:absolute;left:0;text-align:left;margin-left:179.3pt;margin-top:294.3pt;width:322.2pt;height:84.9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v:textbox>
              <w:txbxContent>
                <w:p w:rsidR="00BF6893" w:rsidRPr="0096406A" w:rsidRDefault="00BF6893" w:rsidP="00296EDA">
                  <w:pPr>
                    <w:jc w:val="right"/>
                    <w:rPr>
                      <w:b/>
                      <w:color w:val="4F6228"/>
                      <w:sz w:val="24"/>
                    </w:rPr>
                  </w:pPr>
                  <w:r w:rsidRPr="0096406A">
                    <w:rPr>
                      <w:b/>
                      <w:color w:val="4F6228"/>
                      <w:sz w:val="24"/>
                    </w:rPr>
                    <w:t>QRC submission to the QCA</w:t>
                  </w:r>
                </w:p>
                <w:p w:rsidR="00BF6893" w:rsidRPr="0096406A" w:rsidRDefault="00BF6893" w:rsidP="00296EDA">
                  <w:pPr>
                    <w:jc w:val="right"/>
                    <w:rPr>
                      <w:b/>
                      <w:color w:val="4F6228"/>
                      <w:sz w:val="24"/>
                    </w:rPr>
                  </w:pPr>
                  <w:r>
                    <w:rPr>
                      <w:b/>
                      <w:color w:val="4F6228"/>
                      <w:sz w:val="24"/>
                    </w:rPr>
                    <w:t>Aurizon Network FY2014 Revenue Adjustment Amounts and Increments</w:t>
                  </w:r>
                </w:p>
                <w:p w:rsidR="00BF6893" w:rsidRPr="0096406A" w:rsidRDefault="00BF6893" w:rsidP="00296EDA">
                  <w:pPr>
                    <w:jc w:val="right"/>
                    <w:rPr>
                      <w:b/>
                      <w:color w:val="4F6228"/>
                      <w:sz w:val="24"/>
                    </w:rPr>
                  </w:pPr>
                  <w:r>
                    <w:rPr>
                      <w:b/>
                      <w:color w:val="4F6228"/>
                      <w:sz w:val="24"/>
                    </w:rPr>
                    <w:t>November 2014</w:t>
                  </w:r>
                </w:p>
              </w:txbxContent>
            </v:textbox>
          </v:shape>
        </w:pict>
      </w:r>
      <w:r w:rsidR="00EA3648" w:rsidRPr="00EA3648">
        <w:rPr>
          <w:rFonts w:cs="Arial"/>
          <w:szCs w:val="20"/>
        </w:rPr>
        <w:br w:type="page"/>
      </w:r>
    </w:p>
    <w:p w:rsidR="00081BCB" w:rsidRDefault="00081BCB" w:rsidP="0049194D">
      <w:pPr>
        <w:numPr>
          <w:ilvl w:val="0"/>
          <w:numId w:val="4"/>
        </w:numPr>
        <w:spacing w:line="260" w:lineRule="atLeast"/>
        <w:rPr>
          <w:rFonts w:cs="Arial"/>
          <w:szCs w:val="20"/>
        </w:rPr>
      </w:pPr>
      <w:r w:rsidRPr="00081BCB">
        <w:rPr>
          <w:sz w:val="32"/>
          <w:szCs w:val="20"/>
          <w:lang w:val="en-GB"/>
        </w:rPr>
        <w:t>Background</w:t>
      </w:r>
    </w:p>
    <w:p w:rsidR="00440C0A" w:rsidRDefault="00260D26" w:rsidP="007630F3">
      <w:pPr>
        <w:spacing w:line="260" w:lineRule="atLeast"/>
        <w:ind w:left="0"/>
        <w:rPr>
          <w:rFonts w:cs="Arial"/>
          <w:szCs w:val="20"/>
        </w:rPr>
      </w:pPr>
      <w:r>
        <w:rPr>
          <w:rFonts w:cs="Arial"/>
          <w:szCs w:val="20"/>
        </w:rPr>
        <w:t>QRC welcomes the opportunity to comment on Aurizon Network’s submission regarding FY2014 Revenue Adjustment Amounts and Increments.</w:t>
      </w:r>
    </w:p>
    <w:p w:rsidR="007630F3" w:rsidRDefault="00440C0A" w:rsidP="007630F3">
      <w:pPr>
        <w:spacing w:line="260" w:lineRule="atLeast"/>
        <w:ind w:left="0"/>
        <w:rPr>
          <w:rFonts w:cs="Arial"/>
          <w:szCs w:val="20"/>
        </w:rPr>
      </w:pPr>
      <w:r>
        <w:rPr>
          <w:rFonts w:cs="Arial"/>
          <w:szCs w:val="20"/>
        </w:rPr>
        <w:t>This submission does not contain confidential information, and may be published on the QCA’s website.</w:t>
      </w:r>
      <w:r w:rsidR="007630F3">
        <w:rPr>
          <w:rFonts w:cs="Arial"/>
          <w:szCs w:val="20"/>
        </w:rPr>
        <w:br/>
      </w:r>
    </w:p>
    <w:p w:rsidR="007630F3" w:rsidRPr="007630F3" w:rsidRDefault="007630F3" w:rsidP="0049194D">
      <w:pPr>
        <w:numPr>
          <w:ilvl w:val="0"/>
          <w:numId w:val="4"/>
        </w:numPr>
        <w:spacing w:line="260" w:lineRule="atLeast"/>
        <w:rPr>
          <w:rFonts w:cs="Arial"/>
          <w:szCs w:val="20"/>
        </w:rPr>
      </w:pPr>
      <w:r>
        <w:rPr>
          <w:sz w:val="32"/>
          <w:szCs w:val="20"/>
          <w:lang w:val="en-GB"/>
        </w:rPr>
        <w:t>Summary</w:t>
      </w:r>
    </w:p>
    <w:p w:rsidR="00265F61" w:rsidRDefault="00FA7006" w:rsidP="006362B0">
      <w:pPr>
        <w:autoSpaceDE w:val="0"/>
        <w:autoSpaceDN w:val="0"/>
        <w:adjustRightInd w:val="0"/>
        <w:spacing w:after="0"/>
        <w:ind w:left="0"/>
        <w:rPr>
          <w:rFonts w:cs="Arial"/>
          <w:szCs w:val="20"/>
        </w:rPr>
      </w:pPr>
      <w:r>
        <w:rPr>
          <w:rFonts w:cs="Arial"/>
          <w:szCs w:val="20"/>
        </w:rPr>
        <w:t>The QRC</w:t>
      </w:r>
      <w:r w:rsidR="00260D26">
        <w:rPr>
          <w:rFonts w:cs="Arial"/>
          <w:szCs w:val="20"/>
        </w:rPr>
        <w:t xml:space="preserve"> relies on the QCA to assess Aurizon Network’s claims and adjustments in regard to Revenue Adjustment Amounts.</w:t>
      </w:r>
      <w:r w:rsidR="00265F61">
        <w:rPr>
          <w:rFonts w:cs="Arial"/>
          <w:szCs w:val="20"/>
        </w:rPr>
        <w:t xml:space="preserve">  QRC does not have adequate information on which to base any comments on the Revenue Adjustment Amounts.  </w:t>
      </w:r>
    </w:p>
    <w:p w:rsidR="00265F61" w:rsidRDefault="00265F61" w:rsidP="006362B0">
      <w:pPr>
        <w:autoSpaceDE w:val="0"/>
        <w:autoSpaceDN w:val="0"/>
        <w:adjustRightInd w:val="0"/>
        <w:spacing w:after="0"/>
        <w:ind w:left="0"/>
        <w:rPr>
          <w:rFonts w:cs="Arial"/>
          <w:szCs w:val="20"/>
        </w:rPr>
      </w:pPr>
    </w:p>
    <w:p w:rsidR="00945AA7" w:rsidRDefault="00265F61" w:rsidP="006362B0">
      <w:pPr>
        <w:autoSpaceDE w:val="0"/>
        <w:autoSpaceDN w:val="0"/>
        <w:adjustRightInd w:val="0"/>
        <w:spacing w:after="0"/>
        <w:ind w:left="0"/>
        <w:rPr>
          <w:rFonts w:cs="Arial"/>
          <w:szCs w:val="20"/>
        </w:rPr>
      </w:pPr>
      <w:r>
        <w:rPr>
          <w:rFonts w:cs="Arial"/>
          <w:szCs w:val="20"/>
        </w:rPr>
        <w:t>This submission is therefore limited to comments on the claimed Increment.</w:t>
      </w:r>
      <w:r w:rsidR="00476B4F">
        <w:rPr>
          <w:rFonts w:cs="Arial"/>
          <w:szCs w:val="20"/>
        </w:rPr>
        <w:t xml:space="preserve">  We consider that the Increment should </w:t>
      </w:r>
      <w:r w:rsidR="0006393A">
        <w:rPr>
          <w:rFonts w:cs="Arial"/>
          <w:szCs w:val="20"/>
        </w:rPr>
        <w:t>not be approved</w:t>
      </w:r>
      <w:r w:rsidR="00476B4F">
        <w:rPr>
          <w:rFonts w:cs="Arial"/>
          <w:szCs w:val="20"/>
        </w:rPr>
        <w:t xml:space="preserve"> because:</w:t>
      </w:r>
    </w:p>
    <w:p w:rsidR="00476B4F" w:rsidRDefault="00476B4F" w:rsidP="006362B0">
      <w:pPr>
        <w:autoSpaceDE w:val="0"/>
        <w:autoSpaceDN w:val="0"/>
        <w:adjustRightInd w:val="0"/>
        <w:spacing w:after="0"/>
        <w:ind w:left="0"/>
        <w:rPr>
          <w:rFonts w:cs="Arial"/>
          <w:szCs w:val="20"/>
        </w:rPr>
      </w:pPr>
    </w:p>
    <w:p w:rsidR="00476B4F" w:rsidRDefault="00476B4F" w:rsidP="00476B4F">
      <w:pPr>
        <w:numPr>
          <w:ilvl w:val="0"/>
          <w:numId w:val="42"/>
        </w:numPr>
        <w:autoSpaceDE w:val="0"/>
        <w:autoSpaceDN w:val="0"/>
        <w:adjustRightInd w:val="0"/>
        <w:spacing w:after="0"/>
        <w:rPr>
          <w:rFonts w:cs="Arial"/>
          <w:szCs w:val="20"/>
        </w:rPr>
      </w:pPr>
      <w:r>
        <w:rPr>
          <w:rFonts w:cs="Arial"/>
          <w:szCs w:val="20"/>
        </w:rPr>
        <w:t>The requirements for claiming an Increment under UT3 have not been met.</w:t>
      </w:r>
      <w:r>
        <w:rPr>
          <w:rFonts w:cs="Arial"/>
          <w:szCs w:val="20"/>
        </w:rPr>
        <w:br/>
      </w:r>
    </w:p>
    <w:p w:rsidR="00476B4F" w:rsidRDefault="00476B4F" w:rsidP="00476B4F">
      <w:pPr>
        <w:numPr>
          <w:ilvl w:val="0"/>
          <w:numId w:val="42"/>
        </w:numPr>
        <w:autoSpaceDE w:val="0"/>
        <w:autoSpaceDN w:val="0"/>
        <w:adjustRightInd w:val="0"/>
        <w:spacing w:after="0"/>
        <w:rPr>
          <w:rFonts w:cs="Arial"/>
          <w:szCs w:val="20"/>
        </w:rPr>
      </w:pPr>
      <w:r>
        <w:rPr>
          <w:rFonts w:cs="Arial"/>
          <w:szCs w:val="20"/>
        </w:rPr>
        <w:t>Even if the requirements had been met, it is inappropriate, and inconsistent with the approach being taken to revenue related matters under UT4, to claim an Incremen</w:t>
      </w:r>
      <w:r w:rsidR="0006393A">
        <w:rPr>
          <w:rFonts w:cs="Arial"/>
          <w:szCs w:val="20"/>
        </w:rPr>
        <w:t>t under UT3 terms during FY2014 (which, for the purposes of revenue related matters, is effectively part of the UT4 period).</w:t>
      </w:r>
    </w:p>
    <w:p w:rsidR="00260D26" w:rsidRDefault="00260D26" w:rsidP="006362B0">
      <w:pPr>
        <w:autoSpaceDE w:val="0"/>
        <w:autoSpaceDN w:val="0"/>
        <w:adjustRightInd w:val="0"/>
        <w:spacing w:after="0"/>
        <w:ind w:left="0"/>
        <w:rPr>
          <w:rFonts w:cs="Arial"/>
          <w:szCs w:val="20"/>
        </w:rPr>
      </w:pPr>
    </w:p>
    <w:p w:rsidR="00260D26" w:rsidRDefault="00CA427B" w:rsidP="006362B0">
      <w:pPr>
        <w:autoSpaceDE w:val="0"/>
        <w:autoSpaceDN w:val="0"/>
        <w:adjustRightInd w:val="0"/>
        <w:spacing w:after="0"/>
        <w:ind w:left="0"/>
        <w:rPr>
          <w:rFonts w:cs="Arial"/>
          <w:szCs w:val="20"/>
        </w:rPr>
      </w:pPr>
      <w:r>
        <w:rPr>
          <w:rFonts w:cs="Arial"/>
          <w:szCs w:val="20"/>
        </w:rPr>
        <w:t xml:space="preserve">QRC welcomes the efficiency initiatives which have been documented by Aurizon Network.  These projects offer a range of benefits including possible cost savings in various elements of the supply chain, and possible </w:t>
      </w:r>
      <w:r w:rsidR="00265F61">
        <w:rPr>
          <w:rFonts w:cs="Arial"/>
          <w:szCs w:val="20"/>
        </w:rPr>
        <w:t xml:space="preserve">longer term </w:t>
      </w:r>
      <w:r>
        <w:rPr>
          <w:rFonts w:cs="Arial"/>
          <w:szCs w:val="20"/>
        </w:rPr>
        <w:t xml:space="preserve">capacity enhancements.  However, we do not consider that the </w:t>
      </w:r>
      <w:r w:rsidR="001E1711">
        <w:rPr>
          <w:rFonts w:cs="Arial"/>
          <w:szCs w:val="20"/>
        </w:rPr>
        <w:t>efficiency initiatives caused or allowed the volume forecast to be exceeded</w:t>
      </w:r>
      <w:r w:rsidR="00395462">
        <w:rPr>
          <w:rFonts w:cs="Arial"/>
          <w:szCs w:val="20"/>
        </w:rPr>
        <w:t xml:space="preserve"> in FY2014</w:t>
      </w:r>
      <w:r w:rsidR="001E1711">
        <w:rPr>
          <w:rFonts w:cs="Arial"/>
          <w:szCs w:val="20"/>
        </w:rPr>
        <w:t xml:space="preserve">.  Therefore the </w:t>
      </w:r>
      <w:r>
        <w:rPr>
          <w:rFonts w:cs="Arial"/>
          <w:szCs w:val="20"/>
        </w:rPr>
        <w:t>undertaking requirements for claim</w:t>
      </w:r>
      <w:r w:rsidR="00265F61">
        <w:rPr>
          <w:rFonts w:cs="Arial"/>
          <w:szCs w:val="20"/>
        </w:rPr>
        <w:t xml:space="preserve">ing an Increment have </w:t>
      </w:r>
      <w:r w:rsidR="001E1711">
        <w:rPr>
          <w:rFonts w:cs="Arial"/>
          <w:szCs w:val="20"/>
        </w:rPr>
        <w:t xml:space="preserve">not </w:t>
      </w:r>
      <w:r w:rsidR="00265F61">
        <w:rPr>
          <w:rFonts w:cs="Arial"/>
          <w:szCs w:val="20"/>
        </w:rPr>
        <w:t>been met.</w:t>
      </w:r>
      <w:r w:rsidR="00260D26">
        <w:rPr>
          <w:rFonts w:cs="Arial"/>
          <w:szCs w:val="20"/>
        </w:rPr>
        <w:br/>
      </w:r>
    </w:p>
    <w:p w:rsidR="009D0D1D" w:rsidRDefault="00260D26" w:rsidP="00265F61">
      <w:pPr>
        <w:autoSpaceDE w:val="0"/>
        <w:autoSpaceDN w:val="0"/>
        <w:adjustRightInd w:val="0"/>
        <w:spacing w:after="0"/>
        <w:ind w:left="0"/>
        <w:rPr>
          <w:rFonts w:cs="Arial"/>
          <w:szCs w:val="20"/>
        </w:rPr>
      </w:pPr>
      <w:r>
        <w:rPr>
          <w:rFonts w:cs="Arial"/>
          <w:szCs w:val="20"/>
        </w:rPr>
        <w:t>The claim does not meet the requirem</w:t>
      </w:r>
      <w:r w:rsidR="009D0D1D">
        <w:rPr>
          <w:rFonts w:cs="Arial"/>
          <w:szCs w:val="20"/>
        </w:rPr>
        <w:t>ents for an Increment under UT3 because:</w:t>
      </w:r>
      <w:r w:rsidR="009D0D1D">
        <w:rPr>
          <w:rFonts w:cs="Arial"/>
          <w:szCs w:val="20"/>
        </w:rPr>
        <w:br/>
      </w:r>
    </w:p>
    <w:p w:rsidR="009D0D1D" w:rsidRDefault="009D0D1D" w:rsidP="00265F61">
      <w:pPr>
        <w:numPr>
          <w:ilvl w:val="0"/>
          <w:numId w:val="37"/>
        </w:numPr>
        <w:autoSpaceDE w:val="0"/>
        <w:autoSpaceDN w:val="0"/>
        <w:adjustRightInd w:val="0"/>
        <w:spacing w:after="0"/>
        <w:rPr>
          <w:rFonts w:cs="Arial"/>
          <w:szCs w:val="20"/>
        </w:rPr>
      </w:pPr>
      <w:r>
        <w:rPr>
          <w:rFonts w:cs="Arial"/>
          <w:szCs w:val="20"/>
        </w:rPr>
        <w:t>The cause of volumes exceeding forecasts was higher than expected mine output</w:t>
      </w:r>
      <w:r w:rsidR="001E1711">
        <w:rPr>
          <w:rFonts w:cs="Arial"/>
          <w:szCs w:val="20"/>
        </w:rPr>
        <w:t xml:space="preserve"> and unusually low rainfall</w:t>
      </w:r>
      <w:r w:rsidR="00265F61">
        <w:rPr>
          <w:rFonts w:cs="Arial"/>
          <w:szCs w:val="20"/>
        </w:rPr>
        <w:t>, not efficiency improvements as claimed by Aurizon Network</w:t>
      </w:r>
      <w:r>
        <w:rPr>
          <w:rFonts w:cs="Arial"/>
          <w:szCs w:val="20"/>
        </w:rPr>
        <w:t>.</w:t>
      </w:r>
      <w:r w:rsidR="00265F61">
        <w:rPr>
          <w:rFonts w:cs="Arial"/>
          <w:szCs w:val="20"/>
        </w:rPr>
        <w:t xml:space="preserve">  This is confirmed by Energy Economics in its April 2014 report to the QCA.</w:t>
      </w:r>
      <w:r w:rsidR="000374C5">
        <w:rPr>
          <w:rFonts w:cs="Arial"/>
          <w:szCs w:val="20"/>
        </w:rPr>
        <w:br/>
      </w:r>
    </w:p>
    <w:p w:rsidR="00260D26" w:rsidRDefault="001E1711" w:rsidP="00265F61">
      <w:pPr>
        <w:numPr>
          <w:ilvl w:val="0"/>
          <w:numId w:val="37"/>
        </w:numPr>
        <w:autoSpaceDE w:val="0"/>
        <w:autoSpaceDN w:val="0"/>
        <w:adjustRightInd w:val="0"/>
        <w:spacing w:after="0"/>
        <w:rPr>
          <w:rFonts w:cs="Arial"/>
          <w:szCs w:val="20"/>
        </w:rPr>
      </w:pPr>
      <w:r>
        <w:rPr>
          <w:rFonts w:cs="Arial"/>
          <w:szCs w:val="20"/>
        </w:rPr>
        <w:t>E</w:t>
      </w:r>
      <w:r w:rsidR="000374C5">
        <w:rPr>
          <w:rFonts w:cs="Arial"/>
          <w:szCs w:val="20"/>
        </w:rPr>
        <w:t xml:space="preserve">fficiency improvements, while welcomed, cannot be said to </w:t>
      </w:r>
      <w:r>
        <w:rPr>
          <w:rFonts w:cs="Arial"/>
          <w:szCs w:val="20"/>
        </w:rPr>
        <w:t>directly cause</w:t>
      </w:r>
      <w:r w:rsidR="000374C5">
        <w:rPr>
          <w:rFonts w:cs="Arial"/>
          <w:szCs w:val="20"/>
        </w:rPr>
        <w:t>, in whole or in part, additional volumes</w:t>
      </w:r>
      <w:r>
        <w:rPr>
          <w:rFonts w:cs="Arial"/>
          <w:szCs w:val="20"/>
        </w:rPr>
        <w:t>, when volumes remain substantially below contract</w:t>
      </w:r>
      <w:r w:rsidR="000374C5">
        <w:rPr>
          <w:rFonts w:cs="Arial"/>
          <w:szCs w:val="20"/>
        </w:rPr>
        <w:t>.  Coal producers are paying for an amount of below rail capacity which significantly exceeds the volumes achieved in FY</w:t>
      </w:r>
      <w:r w:rsidR="00AB08A7">
        <w:rPr>
          <w:rFonts w:cs="Arial"/>
          <w:szCs w:val="20"/>
        </w:rPr>
        <w:t>20</w:t>
      </w:r>
      <w:r w:rsidR="000374C5">
        <w:rPr>
          <w:rFonts w:cs="Arial"/>
          <w:szCs w:val="20"/>
        </w:rPr>
        <w:t xml:space="preserve">14.  Aurizon Network is contractually bound to provide this level of capacity.  Therefore, while the efficiency improvements are beneficial, </w:t>
      </w:r>
      <w:r w:rsidR="00AB08A7">
        <w:rPr>
          <w:rFonts w:cs="Arial"/>
          <w:szCs w:val="20"/>
        </w:rPr>
        <w:t xml:space="preserve">it is </w:t>
      </w:r>
      <w:r w:rsidR="00BF6893">
        <w:rPr>
          <w:rFonts w:cs="Arial"/>
          <w:szCs w:val="20"/>
        </w:rPr>
        <w:t xml:space="preserve">not </w:t>
      </w:r>
      <w:r w:rsidR="00AB08A7">
        <w:rPr>
          <w:rFonts w:cs="Arial"/>
          <w:szCs w:val="20"/>
        </w:rPr>
        <w:t>possible to conclude that the volumes achieved could not have been achieved in the absence of these initiatives.</w:t>
      </w:r>
      <w:r w:rsidR="004F6EAD">
        <w:rPr>
          <w:rFonts w:cs="Arial"/>
          <w:szCs w:val="20"/>
        </w:rPr>
        <w:br/>
      </w:r>
    </w:p>
    <w:p w:rsidR="00BF6893" w:rsidRDefault="00265F61" w:rsidP="00265F61">
      <w:pPr>
        <w:autoSpaceDE w:val="0"/>
        <w:autoSpaceDN w:val="0"/>
        <w:adjustRightInd w:val="0"/>
        <w:spacing w:after="0"/>
        <w:ind w:left="0"/>
        <w:rPr>
          <w:rFonts w:cs="Arial"/>
          <w:szCs w:val="20"/>
        </w:rPr>
      </w:pPr>
      <w:r>
        <w:rPr>
          <w:rFonts w:cs="Arial"/>
          <w:szCs w:val="20"/>
        </w:rPr>
        <w:t>We also consider that a claim for an Increment for the FY</w:t>
      </w:r>
      <w:r w:rsidR="00BF6893">
        <w:rPr>
          <w:rFonts w:cs="Arial"/>
          <w:szCs w:val="20"/>
        </w:rPr>
        <w:t>20</w:t>
      </w:r>
      <w:r>
        <w:rPr>
          <w:rFonts w:cs="Arial"/>
          <w:szCs w:val="20"/>
        </w:rPr>
        <w:t>14 year should not be considered under the terms of UT3.  I</w:t>
      </w:r>
      <w:r w:rsidR="004F6EAD">
        <w:rPr>
          <w:rFonts w:cs="Arial"/>
          <w:szCs w:val="20"/>
        </w:rPr>
        <w:t xml:space="preserve">t is intended that </w:t>
      </w:r>
      <w:r w:rsidR="00260D26">
        <w:rPr>
          <w:rFonts w:cs="Arial"/>
          <w:szCs w:val="20"/>
        </w:rPr>
        <w:t>Maximum Allowable Revenues</w:t>
      </w:r>
      <w:r w:rsidR="004F6EAD">
        <w:rPr>
          <w:rFonts w:cs="Arial"/>
          <w:szCs w:val="20"/>
        </w:rPr>
        <w:t xml:space="preserve"> and tariff related matters for the FY2014 year will be </w:t>
      </w:r>
      <w:r>
        <w:rPr>
          <w:rFonts w:cs="Arial"/>
          <w:szCs w:val="20"/>
        </w:rPr>
        <w:t>assessed as part of UT4</w:t>
      </w:r>
      <w:r w:rsidR="001E1711">
        <w:rPr>
          <w:rFonts w:cs="Arial"/>
          <w:szCs w:val="20"/>
        </w:rPr>
        <w:t xml:space="preserve"> and, if necessary, adjusted over the remaining term of UT4</w:t>
      </w:r>
      <w:r>
        <w:rPr>
          <w:rFonts w:cs="Arial"/>
          <w:szCs w:val="20"/>
        </w:rPr>
        <w:t xml:space="preserve">.  </w:t>
      </w:r>
      <w:r w:rsidR="004F6EAD">
        <w:rPr>
          <w:rFonts w:cs="Arial"/>
          <w:szCs w:val="20"/>
        </w:rPr>
        <w:t xml:space="preserve">The question of whether Aurizon Network can claim an Increment for FY2014 </w:t>
      </w:r>
      <w:r w:rsidR="001E1711">
        <w:rPr>
          <w:rFonts w:cs="Arial"/>
          <w:szCs w:val="20"/>
        </w:rPr>
        <w:t>should therefore</w:t>
      </w:r>
      <w:r w:rsidR="004F6EAD">
        <w:rPr>
          <w:rFonts w:cs="Arial"/>
          <w:szCs w:val="20"/>
        </w:rPr>
        <w:t xml:space="preserve"> be assessed under UT4, based on the final approved ter</w:t>
      </w:r>
      <w:r w:rsidR="00395462">
        <w:rPr>
          <w:rFonts w:cs="Arial"/>
          <w:szCs w:val="20"/>
        </w:rPr>
        <w:t xml:space="preserve">ms of UT4.  Aurizon Network has </w:t>
      </w:r>
      <w:r w:rsidR="004F6EAD">
        <w:rPr>
          <w:rFonts w:cs="Arial"/>
          <w:szCs w:val="20"/>
        </w:rPr>
        <w:t xml:space="preserve">proposed this approach in regard to adjustments to </w:t>
      </w:r>
      <w:r w:rsidR="001E1711">
        <w:rPr>
          <w:rFonts w:cs="Arial"/>
          <w:szCs w:val="20"/>
        </w:rPr>
        <w:t xml:space="preserve">FY2014 </w:t>
      </w:r>
      <w:r w:rsidR="004F6EAD">
        <w:rPr>
          <w:rFonts w:cs="Arial"/>
          <w:szCs w:val="20"/>
        </w:rPr>
        <w:t>maintenance costs, MCI, electricity connection costs, and operating costs.  The final adjustments for these matters will be</w:t>
      </w:r>
      <w:r w:rsidR="001E1711">
        <w:rPr>
          <w:rFonts w:cs="Arial"/>
          <w:szCs w:val="20"/>
        </w:rPr>
        <w:t xml:space="preserve"> determined based on UT4 </w:t>
      </w:r>
      <w:r w:rsidR="001E1711">
        <w:rPr>
          <w:rFonts w:cs="Arial"/>
          <w:szCs w:val="20"/>
        </w:rPr>
        <w:lastRenderedPageBreak/>
        <w:t xml:space="preserve">terms, </w:t>
      </w:r>
      <w:r w:rsidR="004F6EAD">
        <w:rPr>
          <w:rFonts w:cs="Arial"/>
          <w:szCs w:val="20"/>
        </w:rPr>
        <w:t>including</w:t>
      </w:r>
      <w:r w:rsidR="00BF6893">
        <w:rPr>
          <w:rFonts w:cs="Arial"/>
          <w:szCs w:val="20"/>
        </w:rPr>
        <w:t>, for example, the use of</w:t>
      </w:r>
      <w:r w:rsidR="004F6EAD">
        <w:rPr>
          <w:rFonts w:cs="Arial"/>
          <w:szCs w:val="20"/>
        </w:rPr>
        <w:t xml:space="preserve"> UT4</w:t>
      </w:r>
      <w:r w:rsidR="001E1711">
        <w:rPr>
          <w:rFonts w:cs="Arial"/>
          <w:szCs w:val="20"/>
        </w:rPr>
        <w:t xml:space="preserve"> approved escalation mechanisms</w:t>
      </w:r>
      <w:r w:rsidR="004F6EAD">
        <w:rPr>
          <w:rFonts w:cs="Arial"/>
          <w:szCs w:val="20"/>
        </w:rPr>
        <w:t xml:space="preserve">.  Aurizon Network’s proposal to claim an Increment </w:t>
      </w:r>
      <w:r w:rsidR="00B22A50">
        <w:rPr>
          <w:rFonts w:cs="Arial"/>
          <w:szCs w:val="20"/>
        </w:rPr>
        <w:t xml:space="preserve">for FY2014 </w:t>
      </w:r>
      <w:r w:rsidR="004F6EAD">
        <w:rPr>
          <w:rFonts w:cs="Arial"/>
          <w:szCs w:val="20"/>
        </w:rPr>
        <w:t xml:space="preserve">based on UT3 terms is </w:t>
      </w:r>
      <w:r>
        <w:rPr>
          <w:rFonts w:cs="Arial"/>
          <w:szCs w:val="20"/>
        </w:rPr>
        <w:t>inconsistent with this approach.</w:t>
      </w:r>
      <w:r w:rsidR="001E1711">
        <w:rPr>
          <w:rFonts w:cs="Arial"/>
          <w:szCs w:val="20"/>
        </w:rPr>
        <w:t xml:space="preserve">  </w:t>
      </w:r>
    </w:p>
    <w:p w:rsidR="00395462" w:rsidRDefault="00395462" w:rsidP="00265F61">
      <w:pPr>
        <w:autoSpaceDE w:val="0"/>
        <w:autoSpaceDN w:val="0"/>
        <w:adjustRightInd w:val="0"/>
        <w:spacing w:after="0"/>
        <w:ind w:left="0"/>
        <w:rPr>
          <w:rFonts w:cs="Arial"/>
          <w:szCs w:val="20"/>
        </w:rPr>
      </w:pPr>
    </w:p>
    <w:p w:rsidR="00260D26" w:rsidRDefault="002D59B1" w:rsidP="00265F61">
      <w:pPr>
        <w:autoSpaceDE w:val="0"/>
        <w:autoSpaceDN w:val="0"/>
        <w:adjustRightInd w:val="0"/>
        <w:spacing w:after="0"/>
        <w:ind w:left="0"/>
        <w:rPr>
          <w:rFonts w:cs="Arial"/>
          <w:szCs w:val="20"/>
        </w:rPr>
      </w:pPr>
      <w:r>
        <w:rPr>
          <w:rFonts w:cs="Arial"/>
          <w:szCs w:val="20"/>
        </w:rPr>
        <w:t xml:space="preserve">In this regard, </w:t>
      </w:r>
      <w:r w:rsidR="001E1711">
        <w:rPr>
          <w:rFonts w:cs="Arial"/>
          <w:szCs w:val="20"/>
        </w:rPr>
        <w:t>QRC considers that UT4 should not offer an increment until a symmetrical set of incentive arrang</w:t>
      </w:r>
      <w:r w:rsidR="00476B4F">
        <w:rPr>
          <w:rFonts w:cs="Arial"/>
          <w:szCs w:val="20"/>
        </w:rPr>
        <w:t>e</w:t>
      </w:r>
      <w:r w:rsidR="001E1711">
        <w:rPr>
          <w:rFonts w:cs="Arial"/>
          <w:szCs w:val="20"/>
        </w:rPr>
        <w:t>ments is dev</w:t>
      </w:r>
      <w:r w:rsidR="00BF6893">
        <w:rPr>
          <w:rFonts w:cs="Arial"/>
          <w:szCs w:val="20"/>
        </w:rPr>
        <w:t>eloped.  This was a requirement</w:t>
      </w:r>
      <w:r w:rsidR="001E1711">
        <w:rPr>
          <w:rFonts w:cs="Arial"/>
          <w:szCs w:val="20"/>
        </w:rPr>
        <w:t xml:space="preserve"> under UT3, but was not achieved, in part because Aurizon Network submitted a proposal which was not symmetrical and therefore did not comply with the requirements of </w:t>
      </w:r>
      <w:r w:rsidR="00A655DF">
        <w:rPr>
          <w:rFonts w:cs="Arial"/>
          <w:szCs w:val="20"/>
        </w:rPr>
        <w:t xml:space="preserve">the </w:t>
      </w:r>
      <w:r w:rsidR="00476B4F">
        <w:rPr>
          <w:rFonts w:cs="Arial"/>
          <w:szCs w:val="20"/>
        </w:rPr>
        <w:t xml:space="preserve">UT3 </w:t>
      </w:r>
      <w:r w:rsidR="00A655DF">
        <w:rPr>
          <w:rFonts w:cs="Arial"/>
          <w:szCs w:val="20"/>
        </w:rPr>
        <w:t xml:space="preserve">“Draft Incentive Mechanism” </w:t>
      </w:r>
      <w:r w:rsidR="00476B4F">
        <w:rPr>
          <w:rFonts w:cs="Arial"/>
          <w:szCs w:val="20"/>
        </w:rPr>
        <w:t>and could not be approved</w:t>
      </w:r>
      <w:r>
        <w:rPr>
          <w:rFonts w:cs="Arial"/>
          <w:szCs w:val="20"/>
        </w:rPr>
        <w:t xml:space="preserve">.  The proposal was never formally rejected by the QCA, and therefore stalled, presumably due to conflicting demands from UT4 and other undertaking processes.  </w:t>
      </w:r>
      <w:r w:rsidR="00BF6893">
        <w:rPr>
          <w:rFonts w:cs="Arial"/>
          <w:szCs w:val="20"/>
        </w:rPr>
        <w:t>Continuing to apply the UT3 I</w:t>
      </w:r>
      <w:r w:rsidR="00476B4F">
        <w:rPr>
          <w:rFonts w:cs="Arial"/>
          <w:szCs w:val="20"/>
        </w:rPr>
        <w:t xml:space="preserve">ncrement in </w:t>
      </w:r>
      <w:r w:rsidR="00BF6893">
        <w:rPr>
          <w:rFonts w:cs="Arial"/>
          <w:szCs w:val="20"/>
        </w:rPr>
        <w:t>FY2014</w:t>
      </w:r>
      <w:r w:rsidR="00476B4F">
        <w:rPr>
          <w:rFonts w:cs="Arial"/>
          <w:szCs w:val="20"/>
        </w:rPr>
        <w:t xml:space="preserve"> would reward Aurizon Network for the failure to comply with the UT3 Draft Incentive Mechanism requirement, and for its part in the delayed finalisation of UT4.</w:t>
      </w:r>
    </w:p>
    <w:p w:rsidR="00C73420" w:rsidRDefault="00C73420" w:rsidP="00C73420">
      <w:pPr>
        <w:autoSpaceDE w:val="0"/>
        <w:autoSpaceDN w:val="0"/>
        <w:adjustRightInd w:val="0"/>
        <w:spacing w:after="0"/>
        <w:rPr>
          <w:rFonts w:cs="Arial"/>
          <w:szCs w:val="20"/>
        </w:rPr>
      </w:pPr>
    </w:p>
    <w:p w:rsidR="00234BF1" w:rsidRPr="00234BF1" w:rsidRDefault="004F6EAD" w:rsidP="00234BF1">
      <w:pPr>
        <w:numPr>
          <w:ilvl w:val="0"/>
          <w:numId w:val="4"/>
        </w:numPr>
        <w:autoSpaceDE w:val="0"/>
        <w:autoSpaceDN w:val="0"/>
        <w:adjustRightInd w:val="0"/>
        <w:spacing w:after="0"/>
        <w:rPr>
          <w:sz w:val="32"/>
          <w:szCs w:val="20"/>
          <w:lang w:val="en-GB"/>
        </w:rPr>
      </w:pPr>
      <w:r>
        <w:rPr>
          <w:sz w:val="32"/>
          <w:szCs w:val="20"/>
          <w:lang w:val="en-GB"/>
        </w:rPr>
        <w:t xml:space="preserve">What </w:t>
      </w:r>
      <w:r w:rsidR="009E2748">
        <w:rPr>
          <w:sz w:val="32"/>
          <w:szCs w:val="20"/>
          <w:lang w:val="en-GB"/>
        </w:rPr>
        <w:t>caused</w:t>
      </w:r>
      <w:r>
        <w:rPr>
          <w:sz w:val="32"/>
          <w:szCs w:val="20"/>
          <w:lang w:val="en-GB"/>
        </w:rPr>
        <w:t xml:space="preserve"> volumes </w:t>
      </w:r>
      <w:r w:rsidR="009E2748">
        <w:rPr>
          <w:sz w:val="32"/>
          <w:szCs w:val="20"/>
          <w:lang w:val="en-GB"/>
        </w:rPr>
        <w:t>to exceed</w:t>
      </w:r>
      <w:r>
        <w:rPr>
          <w:sz w:val="32"/>
          <w:szCs w:val="20"/>
          <w:lang w:val="en-GB"/>
        </w:rPr>
        <w:t xml:space="preserve"> forecasts?</w:t>
      </w:r>
    </w:p>
    <w:p w:rsidR="00234BF1" w:rsidRDefault="00234BF1" w:rsidP="00C73420">
      <w:pPr>
        <w:autoSpaceDE w:val="0"/>
        <w:autoSpaceDN w:val="0"/>
        <w:adjustRightInd w:val="0"/>
        <w:spacing w:after="0"/>
        <w:ind w:left="0"/>
        <w:rPr>
          <w:rFonts w:cs="Arial"/>
          <w:szCs w:val="20"/>
        </w:rPr>
      </w:pPr>
    </w:p>
    <w:p w:rsidR="009E2748" w:rsidRDefault="00C73420" w:rsidP="009E2748">
      <w:pPr>
        <w:autoSpaceDE w:val="0"/>
        <w:autoSpaceDN w:val="0"/>
        <w:adjustRightInd w:val="0"/>
        <w:spacing w:after="0"/>
        <w:ind w:left="0"/>
        <w:rPr>
          <w:rFonts w:cs="Arial"/>
          <w:szCs w:val="20"/>
        </w:rPr>
      </w:pPr>
      <w:r>
        <w:rPr>
          <w:rFonts w:cs="Arial"/>
          <w:szCs w:val="20"/>
        </w:rPr>
        <w:t xml:space="preserve">QRC </w:t>
      </w:r>
      <w:r w:rsidR="004F6EAD">
        <w:rPr>
          <w:rFonts w:cs="Arial"/>
          <w:szCs w:val="20"/>
        </w:rPr>
        <w:t>considers that the cause of volumes exceeding f</w:t>
      </w:r>
      <w:r w:rsidR="009E2748">
        <w:rPr>
          <w:rFonts w:cs="Arial"/>
          <w:szCs w:val="20"/>
        </w:rPr>
        <w:t>orecasts during FY2014 was h</w:t>
      </w:r>
      <w:r w:rsidR="001E1711">
        <w:rPr>
          <w:rFonts w:cs="Arial"/>
          <w:szCs w:val="20"/>
        </w:rPr>
        <w:t xml:space="preserve">igher than expected mine output and unusually </w:t>
      </w:r>
      <w:r w:rsidR="00BF6893">
        <w:rPr>
          <w:rFonts w:cs="Arial"/>
          <w:szCs w:val="20"/>
        </w:rPr>
        <w:t>low rainfall</w:t>
      </w:r>
      <w:r w:rsidR="001E1711">
        <w:rPr>
          <w:rFonts w:cs="Arial"/>
          <w:szCs w:val="20"/>
        </w:rPr>
        <w:t>.</w:t>
      </w:r>
      <w:r w:rsidR="004F6EAD">
        <w:rPr>
          <w:rFonts w:cs="Arial"/>
          <w:szCs w:val="20"/>
        </w:rPr>
        <w:t xml:space="preserve"> </w:t>
      </w:r>
    </w:p>
    <w:p w:rsidR="009E2748" w:rsidRDefault="009E2748" w:rsidP="009E2748">
      <w:pPr>
        <w:autoSpaceDE w:val="0"/>
        <w:autoSpaceDN w:val="0"/>
        <w:adjustRightInd w:val="0"/>
        <w:spacing w:after="0"/>
        <w:ind w:left="0"/>
        <w:rPr>
          <w:rFonts w:cs="Arial"/>
          <w:szCs w:val="20"/>
        </w:rPr>
      </w:pPr>
    </w:p>
    <w:p w:rsidR="00450B85" w:rsidRDefault="004F6EAD" w:rsidP="009E2748">
      <w:pPr>
        <w:autoSpaceDE w:val="0"/>
        <w:autoSpaceDN w:val="0"/>
        <w:adjustRightInd w:val="0"/>
        <w:spacing w:after="0"/>
        <w:ind w:left="0"/>
        <w:rPr>
          <w:rFonts w:cs="Arial"/>
          <w:szCs w:val="20"/>
        </w:rPr>
      </w:pPr>
      <w:r>
        <w:rPr>
          <w:rFonts w:cs="Arial"/>
          <w:szCs w:val="20"/>
        </w:rPr>
        <w:t xml:space="preserve">The volumes </w:t>
      </w:r>
      <w:r w:rsidR="009E2748">
        <w:rPr>
          <w:rFonts w:cs="Arial"/>
          <w:szCs w:val="20"/>
        </w:rPr>
        <w:t>reflected in the</w:t>
      </w:r>
      <w:r>
        <w:rPr>
          <w:rFonts w:cs="Arial"/>
          <w:szCs w:val="20"/>
        </w:rPr>
        <w:t xml:space="preserve"> FY2014 </w:t>
      </w:r>
      <w:r w:rsidR="009E2748">
        <w:rPr>
          <w:rFonts w:cs="Arial"/>
          <w:szCs w:val="20"/>
        </w:rPr>
        <w:t xml:space="preserve">forecast </w:t>
      </w:r>
      <w:r>
        <w:rPr>
          <w:rFonts w:cs="Arial"/>
          <w:szCs w:val="20"/>
        </w:rPr>
        <w:t xml:space="preserve">were not constrained by </w:t>
      </w:r>
      <w:r w:rsidR="009E2748">
        <w:rPr>
          <w:rFonts w:cs="Arial"/>
          <w:szCs w:val="20"/>
        </w:rPr>
        <w:t xml:space="preserve">considerations of </w:t>
      </w:r>
      <w:r>
        <w:rPr>
          <w:rFonts w:cs="Arial"/>
          <w:szCs w:val="20"/>
        </w:rPr>
        <w:t>above rail, below rail or port capacity.  Rather, the volumes reflected expected mine output.  This was appropriate given that the forecast mine outputs were well below the contracted capacity of each element of the rail and port infrastructure.</w:t>
      </w:r>
      <w:r w:rsidR="00450B85">
        <w:rPr>
          <w:rFonts w:cs="Arial"/>
          <w:szCs w:val="20"/>
        </w:rPr>
        <w:t xml:space="preserve">  With this as the basis of the forecast, we do not consider that innovation in above rail, below rail or port services ought to have been required to exceed the forecast.</w:t>
      </w:r>
    </w:p>
    <w:p w:rsidR="00450B85" w:rsidRDefault="00450B85" w:rsidP="009E2748">
      <w:pPr>
        <w:autoSpaceDE w:val="0"/>
        <w:autoSpaceDN w:val="0"/>
        <w:adjustRightInd w:val="0"/>
        <w:spacing w:after="0"/>
        <w:ind w:left="0"/>
        <w:rPr>
          <w:rFonts w:cs="Arial"/>
          <w:szCs w:val="20"/>
        </w:rPr>
      </w:pPr>
    </w:p>
    <w:p w:rsidR="009E2748" w:rsidRDefault="00265F61" w:rsidP="009E2748">
      <w:pPr>
        <w:autoSpaceDE w:val="0"/>
        <w:autoSpaceDN w:val="0"/>
        <w:adjustRightInd w:val="0"/>
        <w:spacing w:after="0"/>
        <w:ind w:left="0"/>
        <w:rPr>
          <w:rFonts w:cs="Arial"/>
          <w:szCs w:val="20"/>
        </w:rPr>
      </w:pPr>
      <w:r>
        <w:rPr>
          <w:rFonts w:cs="Arial"/>
          <w:szCs w:val="20"/>
        </w:rPr>
        <w:t>Energy Economics, in its April 2014 report to the QC</w:t>
      </w:r>
      <w:r w:rsidR="00910668">
        <w:rPr>
          <w:rFonts w:cs="Arial"/>
          <w:szCs w:val="20"/>
        </w:rPr>
        <w:t>A, increased i</w:t>
      </w:r>
      <w:r w:rsidR="001E1711">
        <w:rPr>
          <w:rFonts w:cs="Arial"/>
          <w:szCs w:val="20"/>
        </w:rPr>
        <w:t>ts forecast for FY2014 from 190.</w:t>
      </w:r>
      <w:r w:rsidR="00910668">
        <w:rPr>
          <w:rFonts w:cs="Arial"/>
          <w:szCs w:val="20"/>
        </w:rPr>
        <w:t xml:space="preserve">6mt (2013 report) to 211mt (2014 report).  </w:t>
      </w:r>
      <w:r w:rsidR="001E1711">
        <w:rPr>
          <w:rFonts w:cs="Arial"/>
          <w:szCs w:val="20"/>
        </w:rPr>
        <w:t xml:space="preserve">Energy Economics identified </w:t>
      </w:r>
      <w:r w:rsidR="00910668">
        <w:rPr>
          <w:rFonts w:cs="Arial"/>
          <w:szCs w:val="20"/>
        </w:rPr>
        <w:t>the top four causes of the additional throughput, three of which relate to mining performance, with the remaining it</w:t>
      </w:r>
      <w:r w:rsidR="00A655DF">
        <w:rPr>
          <w:rFonts w:cs="Arial"/>
          <w:szCs w:val="20"/>
        </w:rPr>
        <w:t>em being unusually low rainfall.  Energy Economics did not identify below rail efficiencies as a contributing factor.</w:t>
      </w:r>
    </w:p>
    <w:p w:rsidR="00910668" w:rsidRDefault="00910668" w:rsidP="009E2748">
      <w:pPr>
        <w:autoSpaceDE w:val="0"/>
        <w:autoSpaceDN w:val="0"/>
        <w:adjustRightInd w:val="0"/>
        <w:spacing w:after="0"/>
        <w:ind w:left="0"/>
        <w:rPr>
          <w:rFonts w:cs="Arial"/>
          <w:szCs w:val="20"/>
        </w:rPr>
      </w:pPr>
    </w:p>
    <w:p w:rsidR="001E1711" w:rsidRDefault="00B81D4F" w:rsidP="009E2748">
      <w:pPr>
        <w:autoSpaceDE w:val="0"/>
        <w:autoSpaceDN w:val="0"/>
        <w:adjustRightInd w:val="0"/>
        <w:spacing w:after="0"/>
        <w:ind w:left="0"/>
        <w:rPr>
          <w:noProof/>
          <w:lang w:eastAsia="en-AU"/>
        </w:rPr>
      </w:pPr>
      <w:r>
        <w:rPr>
          <w:noProof/>
          <w:lang w:eastAsia="en-AU"/>
        </w:rPr>
        <w:pict>
          <v:rect id="_x0000_i1025" style="width:0;height:1.5pt" o:hralign="center" o:hrstd="t" o:hr="t" fillcolor="#a0a0a0" stroked="f"/>
        </w:pict>
      </w:r>
    </w:p>
    <w:p w:rsidR="00910668" w:rsidRDefault="00910668" w:rsidP="009E2748">
      <w:pPr>
        <w:autoSpaceDE w:val="0"/>
        <w:autoSpaceDN w:val="0"/>
        <w:adjustRightInd w:val="0"/>
        <w:spacing w:after="0"/>
        <w:ind w:left="0"/>
        <w:rPr>
          <w:rFonts w:cs="Arial"/>
          <w:szCs w:val="20"/>
        </w:rPr>
      </w:pPr>
      <w:r>
        <w:rPr>
          <w:noProof/>
          <w:lang w:val="en-US"/>
        </w:rPr>
        <w:drawing>
          <wp:inline distT="0" distB="0" distL="0" distR="0">
            <wp:extent cx="5731510" cy="264898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2648986"/>
                    </a:xfrm>
                    <a:prstGeom prst="rect">
                      <a:avLst/>
                    </a:prstGeom>
                    <a:noFill/>
                    <a:extLst/>
                  </pic:spPr>
                </pic:pic>
              </a:graphicData>
            </a:graphic>
          </wp:inline>
        </w:drawing>
      </w:r>
    </w:p>
    <w:p w:rsidR="00910668" w:rsidRDefault="00B81D4F" w:rsidP="009E2748">
      <w:pPr>
        <w:autoSpaceDE w:val="0"/>
        <w:autoSpaceDN w:val="0"/>
        <w:adjustRightInd w:val="0"/>
        <w:spacing w:after="0"/>
        <w:ind w:left="0"/>
        <w:rPr>
          <w:rFonts w:cs="Arial"/>
          <w:szCs w:val="20"/>
        </w:rPr>
      </w:pPr>
      <w:r>
        <w:rPr>
          <w:noProof/>
          <w:lang w:eastAsia="en-AU"/>
        </w:rPr>
        <w:pict>
          <v:rect id="_x0000_i1026" style="width:0;height:1.5pt" o:hralign="center" o:hrstd="t" o:hr="t" fillcolor="#a0a0a0" stroked="f"/>
        </w:pict>
      </w:r>
    </w:p>
    <w:p w:rsidR="00910668" w:rsidRPr="001E1711" w:rsidRDefault="001E1711" w:rsidP="009E2748">
      <w:pPr>
        <w:autoSpaceDE w:val="0"/>
        <w:autoSpaceDN w:val="0"/>
        <w:adjustRightInd w:val="0"/>
        <w:spacing w:after="0"/>
        <w:ind w:left="0"/>
        <w:rPr>
          <w:rFonts w:cs="Arial"/>
          <w:sz w:val="16"/>
          <w:szCs w:val="20"/>
        </w:rPr>
      </w:pPr>
      <w:r w:rsidRPr="001E1711">
        <w:rPr>
          <w:rFonts w:cs="Arial"/>
          <w:sz w:val="16"/>
          <w:szCs w:val="20"/>
        </w:rPr>
        <w:t>Source: Energy Eco</w:t>
      </w:r>
      <w:r>
        <w:rPr>
          <w:rFonts w:cs="Arial"/>
          <w:sz w:val="16"/>
          <w:szCs w:val="20"/>
        </w:rPr>
        <w:t>nomics April 2014 report to QCA, page 3.</w:t>
      </w:r>
    </w:p>
    <w:p w:rsidR="00DB1FB8" w:rsidRDefault="00DB1FB8" w:rsidP="00730D6F">
      <w:pPr>
        <w:tabs>
          <w:tab w:val="num" w:pos="426"/>
        </w:tabs>
        <w:ind w:left="0"/>
        <w:rPr>
          <w:rFonts w:cs="Arial"/>
          <w:szCs w:val="20"/>
        </w:rPr>
      </w:pPr>
    </w:p>
    <w:p w:rsidR="00DB1FB8" w:rsidRPr="00DB1FB8" w:rsidRDefault="00AB08A7" w:rsidP="00DB1FB8">
      <w:pPr>
        <w:numPr>
          <w:ilvl w:val="0"/>
          <w:numId w:val="4"/>
        </w:numPr>
        <w:rPr>
          <w:rFonts w:cs="Arial"/>
          <w:szCs w:val="20"/>
        </w:rPr>
      </w:pPr>
      <w:r>
        <w:rPr>
          <w:sz w:val="32"/>
          <w:szCs w:val="20"/>
          <w:lang w:val="en-GB"/>
        </w:rPr>
        <w:lastRenderedPageBreak/>
        <w:t>Comments on the Activities and Initiatives</w:t>
      </w:r>
    </w:p>
    <w:p w:rsidR="00580B97" w:rsidRDefault="00AB08A7" w:rsidP="006362B0">
      <w:pPr>
        <w:ind w:left="0"/>
        <w:rPr>
          <w:rFonts w:cs="Arial"/>
          <w:szCs w:val="20"/>
        </w:rPr>
      </w:pPr>
      <w:r>
        <w:rPr>
          <w:rFonts w:cs="Arial"/>
          <w:szCs w:val="20"/>
        </w:rPr>
        <w:t xml:space="preserve">QRC accepts that a number of the initiatives documented by Aurizon Network provided benefits to the coal chain.  These benefits may include lower operating costs in various elements of the chain, and possibly </w:t>
      </w:r>
      <w:r w:rsidR="00A655DF">
        <w:rPr>
          <w:rFonts w:cs="Arial"/>
          <w:szCs w:val="20"/>
        </w:rPr>
        <w:t xml:space="preserve">(although this is yet to be tested) </w:t>
      </w:r>
      <w:r>
        <w:rPr>
          <w:rFonts w:cs="Arial"/>
          <w:szCs w:val="20"/>
        </w:rPr>
        <w:t xml:space="preserve">additional system capacity.  QRC appreciates the efforts of Aurizon Network in implementing these initiatives.  However, the relevant question for assessing the claim of the Increment is whether the additional revenue arose, in whole or in part, </w:t>
      </w:r>
      <w:r w:rsidR="00B77926">
        <w:rPr>
          <w:rFonts w:cs="Arial"/>
          <w:szCs w:val="20"/>
        </w:rPr>
        <w:t>as a direct result of these initiatives.  QRC does not consider it credible to suggest that the result achieved in FY2014 could not have been achieved in the absence of these initiatives.  We base this view on the fact that</w:t>
      </w:r>
      <w:r w:rsidR="00580B97">
        <w:rPr>
          <w:rFonts w:cs="Arial"/>
          <w:szCs w:val="20"/>
        </w:rPr>
        <w:t>:</w:t>
      </w:r>
    </w:p>
    <w:p w:rsidR="00580B97" w:rsidRPr="00580B97" w:rsidRDefault="00580B97" w:rsidP="00580B97">
      <w:pPr>
        <w:numPr>
          <w:ilvl w:val="0"/>
          <w:numId w:val="41"/>
        </w:numPr>
        <w:rPr>
          <w:rFonts w:cs="Arial"/>
          <w:szCs w:val="20"/>
        </w:rPr>
      </w:pPr>
      <w:r>
        <w:rPr>
          <w:rFonts w:cs="Arial"/>
          <w:szCs w:val="20"/>
        </w:rPr>
        <w:t>the con</w:t>
      </w:r>
      <w:r w:rsidR="009569BC">
        <w:rPr>
          <w:rFonts w:cs="Arial"/>
          <w:szCs w:val="20"/>
        </w:rPr>
        <w:t>s</w:t>
      </w:r>
      <w:r>
        <w:rPr>
          <w:rFonts w:cs="Arial"/>
          <w:szCs w:val="20"/>
        </w:rPr>
        <w:t xml:space="preserve">training factor which lead to forecast volumes being at the levels chosen was mine output.  Had the constraining factor been </w:t>
      </w:r>
      <w:r w:rsidR="00BF6893">
        <w:rPr>
          <w:rFonts w:cs="Arial"/>
          <w:szCs w:val="20"/>
        </w:rPr>
        <w:t>below rail</w:t>
      </w:r>
      <w:r>
        <w:rPr>
          <w:rFonts w:cs="Arial"/>
          <w:szCs w:val="20"/>
        </w:rPr>
        <w:t xml:space="preserve"> capacity, then it may be reasonable to conclude that system efficiency improvements could directly cause forecasts to be exceeded.  This was not the case.</w:t>
      </w:r>
      <w:r w:rsidRPr="00580B97">
        <w:rPr>
          <w:rFonts w:cs="Arial"/>
          <w:szCs w:val="20"/>
        </w:rPr>
        <w:br/>
      </w:r>
    </w:p>
    <w:p w:rsidR="006362B0" w:rsidRDefault="00B77926" w:rsidP="00580B97">
      <w:pPr>
        <w:numPr>
          <w:ilvl w:val="0"/>
          <w:numId w:val="41"/>
        </w:numPr>
        <w:rPr>
          <w:rFonts w:cs="Arial"/>
          <w:szCs w:val="20"/>
        </w:rPr>
      </w:pPr>
      <w:r>
        <w:rPr>
          <w:rFonts w:cs="Arial"/>
          <w:szCs w:val="20"/>
        </w:rPr>
        <w:t>volumes achieved remain significantly below contracted tonnages.  Aurizon Network has committed to deliver contracted tonnages, and has invested capital, the cost of which is serviced by coal producers, to ensure that the system can deliver these tonnages.</w:t>
      </w:r>
      <w:r w:rsidR="009569BC">
        <w:rPr>
          <w:rFonts w:cs="Arial"/>
          <w:szCs w:val="20"/>
        </w:rPr>
        <w:t xml:space="preserve">  We understand that Clause 3.3 of Schedule F does not require that contract tonnages be</w:t>
      </w:r>
      <w:r w:rsidR="00BF6893">
        <w:rPr>
          <w:rFonts w:cs="Arial"/>
          <w:szCs w:val="20"/>
        </w:rPr>
        <w:t xml:space="preserve"> exceeded in order to claim an I</w:t>
      </w:r>
      <w:r w:rsidR="009569BC">
        <w:rPr>
          <w:rFonts w:cs="Arial"/>
          <w:szCs w:val="20"/>
        </w:rPr>
        <w:t>ncrement, however, the existence of significant ‘spare’ capacity (where actual tonnages are significantly below contract) raises serious doubts about whether the volumes achieved can be said to have been a direct result of the Activities and Initiatives.</w:t>
      </w:r>
    </w:p>
    <w:p w:rsidR="002D59B1" w:rsidRDefault="00AD1C08" w:rsidP="001E21FA">
      <w:pPr>
        <w:ind w:left="0"/>
        <w:rPr>
          <w:rFonts w:cs="Arial"/>
          <w:szCs w:val="20"/>
        </w:rPr>
      </w:pPr>
      <w:r>
        <w:rPr>
          <w:rFonts w:cs="Arial"/>
          <w:szCs w:val="20"/>
        </w:rPr>
        <w:t>FY2014 actual volumes were 214.5m</w:t>
      </w:r>
      <w:r w:rsidR="00CA427B">
        <w:rPr>
          <w:rFonts w:cs="Arial"/>
          <w:szCs w:val="20"/>
        </w:rPr>
        <w:t>t</w:t>
      </w:r>
      <w:r>
        <w:rPr>
          <w:rFonts w:cs="Arial"/>
          <w:szCs w:val="20"/>
        </w:rPr>
        <w:t xml:space="preserve"> (Central Queensland total, as per Page 16 of Aurizon submission).  This would include domestic tonnages.  Contracted volumes are 268mt excluding domestic tonnes (Page 11 of volume 3 of Aurizon Network April 2013 UT4 submission).  Therefore actual railings were a</w:t>
      </w:r>
      <w:r w:rsidR="00BF6893">
        <w:rPr>
          <w:rFonts w:cs="Arial"/>
          <w:szCs w:val="20"/>
        </w:rPr>
        <w:t>t</w:t>
      </w:r>
      <w:r>
        <w:rPr>
          <w:rFonts w:cs="Arial"/>
          <w:szCs w:val="20"/>
        </w:rPr>
        <w:t xml:space="preserve"> least 20% below contracted tonnage</w:t>
      </w:r>
      <w:r w:rsidR="00BF6893">
        <w:rPr>
          <w:rFonts w:cs="Arial"/>
          <w:szCs w:val="20"/>
        </w:rPr>
        <w:t xml:space="preserve"> and were at least 23% below if domestic contracts are assumed to be 10mtpa or more</w:t>
      </w:r>
      <w:r w:rsidR="001E21FA">
        <w:rPr>
          <w:rFonts w:cs="Arial"/>
          <w:szCs w:val="20"/>
        </w:rPr>
        <w:t xml:space="preserve">.  </w:t>
      </w:r>
      <w:r>
        <w:rPr>
          <w:rFonts w:cs="Arial"/>
          <w:szCs w:val="20"/>
        </w:rPr>
        <w:t>With more than 2</w:t>
      </w:r>
      <w:r w:rsidR="00BF6893">
        <w:rPr>
          <w:rFonts w:cs="Arial"/>
          <w:szCs w:val="20"/>
        </w:rPr>
        <w:t>3</w:t>
      </w:r>
      <w:r>
        <w:rPr>
          <w:rFonts w:cs="Arial"/>
          <w:szCs w:val="20"/>
        </w:rPr>
        <w:t xml:space="preserve">% </w:t>
      </w:r>
      <w:r w:rsidR="002D59B1">
        <w:rPr>
          <w:rFonts w:cs="Arial"/>
          <w:szCs w:val="20"/>
        </w:rPr>
        <w:t xml:space="preserve">(or around 60mt) </w:t>
      </w:r>
      <w:r>
        <w:rPr>
          <w:rFonts w:cs="Arial"/>
          <w:szCs w:val="20"/>
        </w:rPr>
        <w:t>spare capacity</w:t>
      </w:r>
      <w:r w:rsidR="002D59B1">
        <w:rPr>
          <w:rFonts w:cs="Arial"/>
          <w:szCs w:val="20"/>
        </w:rPr>
        <w:t>,</w:t>
      </w:r>
      <w:r>
        <w:rPr>
          <w:rFonts w:cs="Arial"/>
          <w:szCs w:val="20"/>
        </w:rPr>
        <w:t xml:space="preserve"> in addition to all allowances </w:t>
      </w:r>
      <w:r w:rsidR="00CA427B">
        <w:rPr>
          <w:rFonts w:cs="Arial"/>
          <w:szCs w:val="20"/>
        </w:rPr>
        <w:t>included in Aurizon Network’s capacity modelling, it ought to have been possible to rail 214.5mt with or witho</w:t>
      </w:r>
      <w:r w:rsidR="001E21FA">
        <w:rPr>
          <w:rFonts w:cs="Arial"/>
          <w:szCs w:val="20"/>
        </w:rPr>
        <w:t>ut the efficiency initiatives.</w:t>
      </w:r>
      <w:r w:rsidR="00BF6893">
        <w:rPr>
          <w:rFonts w:cs="Arial"/>
          <w:szCs w:val="20"/>
        </w:rPr>
        <w:t xml:space="preserve">  We do not have specific data regarding contracted tonnages in the Blackwater and Goonyella systems, although we note from Aurizon Network’s submission that </w:t>
      </w:r>
      <w:r w:rsidR="00F66362">
        <w:rPr>
          <w:rFonts w:cs="Arial"/>
          <w:szCs w:val="20"/>
        </w:rPr>
        <w:t>throughput reached 95% of contract in only one month in Goonyella and</w:t>
      </w:r>
      <w:r w:rsidR="002D59B1">
        <w:rPr>
          <w:rFonts w:cs="Arial"/>
          <w:szCs w:val="20"/>
        </w:rPr>
        <w:t xml:space="preserve"> in only</w:t>
      </w:r>
      <w:r w:rsidR="00F66362">
        <w:rPr>
          <w:rFonts w:cs="Arial"/>
          <w:szCs w:val="20"/>
        </w:rPr>
        <w:t xml:space="preserve"> three months in Blackwater.</w:t>
      </w:r>
    </w:p>
    <w:p w:rsidR="002D59B1" w:rsidRDefault="002D59B1" w:rsidP="001E21FA">
      <w:pPr>
        <w:ind w:left="0"/>
        <w:rPr>
          <w:rFonts w:cs="Arial"/>
          <w:szCs w:val="20"/>
        </w:rPr>
      </w:pPr>
      <w:r>
        <w:rPr>
          <w:rFonts w:cs="Arial"/>
          <w:szCs w:val="20"/>
        </w:rPr>
        <w:t>Aurizon Network, in its 2013 DAU submission (Volume 3, page 10), made the following comments in regard to FY2014 tariffs:</w:t>
      </w:r>
    </w:p>
    <w:p w:rsidR="002D59B1" w:rsidRDefault="002D59B1" w:rsidP="001E21FA">
      <w:pPr>
        <w:ind w:left="0"/>
        <w:rPr>
          <w:rFonts w:cs="Arial"/>
          <w:szCs w:val="20"/>
        </w:rPr>
      </w:pPr>
      <w:r>
        <w:rPr>
          <w:rFonts w:cs="Arial"/>
          <w:szCs w:val="20"/>
        </w:rPr>
        <w:t xml:space="preserve"> “</w:t>
      </w:r>
      <w:r>
        <w:rPr>
          <w:rFonts w:cs="Arial"/>
          <w:i/>
          <w:szCs w:val="20"/>
        </w:rPr>
        <w:t>a</w:t>
      </w:r>
      <w:r w:rsidRPr="002D59B1">
        <w:rPr>
          <w:rFonts w:cs="Arial"/>
          <w:i/>
          <w:szCs w:val="20"/>
        </w:rPr>
        <w:t xml:space="preserve"> major driver of the current tariffs is the under-utilisation of the network relative to contract</w:t>
      </w:r>
      <w:r>
        <w:rPr>
          <w:rFonts w:cs="Arial"/>
          <w:szCs w:val="20"/>
        </w:rPr>
        <w:t>” and “</w:t>
      </w:r>
      <w:r w:rsidRPr="002D59B1">
        <w:rPr>
          <w:rFonts w:cs="Arial"/>
          <w:i/>
          <w:szCs w:val="20"/>
        </w:rPr>
        <w:t>were the network to rail at contract (268.0 million tonnes), tariffs (</w:t>
      </w:r>
      <w:r>
        <w:rPr>
          <w:rFonts w:cs="Arial"/>
          <w:i/>
          <w:szCs w:val="20"/>
        </w:rPr>
        <w:t>excluding the AT1 and EC compone</w:t>
      </w:r>
      <w:r w:rsidRPr="002D59B1">
        <w:rPr>
          <w:rFonts w:cs="Arial"/>
          <w:i/>
          <w:szCs w:val="20"/>
        </w:rPr>
        <w:t>nts) for the financial year would be, on average, 27% lower</w:t>
      </w:r>
      <w:r>
        <w:rPr>
          <w:rFonts w:cs="Arial"/>
          <w:i/>
          <w:szCs w:val="20"/>
        </w:rPr>
        <w:t>”</w:t>
      </w:r>
      <w:r>
        <w:rPr>
          <w:rFonts w:cs="Arial"/>
          <w:szCs w:val="20"/>
        </w:rPr>
        <w:t>.</w:t>
      </w:r>
    </w:p>
    <w:p w:rsidR="002D59B1" w:rsidRDefault="002D59B1" w:rsidP="001E21FA">
      <w:pPr>
        <w:ind w:left="0"/>
        <w:rPr>
          <w:rFonts w:cs="Arial"/>
          <w:szCs w:val="20"/>
        </w:rPr>
      </w:pPr>
      <w:r>
        <w:rPr>
          <w:rFonts w:cs="Arial"/>
          <w:szCs w:val="20"/>
        </w:rPr>
        <w:t>Two points are worth noting in regard to these statements:</w:t>
      </w:r>
    </w:p>
    <w:p w:rsidR="002D59B1" w:rsidRDefault="002D59B1" w:rsidP="002D59B1">
      <w:pPr>
        <w:numPr>
          <w:ilvl w:val="0"/>
          <w:numId w:val="44"/>
        </w:numPr>
        <w:rPr>
          <w:rFonts w:cs="Arial"/>
          <w:szCs w:val="20"/>
        </w:rPr>
      </w:pPr>
      <w:r>
        <w:rPr>
          <w:rFonts w:cs="Arial"/>
          <w:szCs w:val="20"/>
        </w:rPr>
        <w:t>Firstly, “</w:t>
      </w:r>
      <w:r w:rsidRPr="002D59B1">
        <w:rPr>
          <w:rFonts w:cs="Arial"/>
          <w:i/>
          <w:szCs w:val="20"/>
        </w:rPr>
        <w:t>under-utilisation</w:t>
      </w:r>
      <w:r>
        <w:rPr>
          <w:rFonts w:cs="Arial"/>
          <w:szCs w:val="20"/>
        </w:rPr>
        <w:t>” clearly suggests an ability to handle additional throughput if this is made available by the customers, which is what happened.  It does not suggest an immediate need for Activities and Initiatives in order to handle this tonnage.</w:t>
      </w:r>
    </w:p>
    <w:p w:rsidR="00B77926" w:rsidRDefault="002D59B1" w:rsidP="002D59B1">
      <w:pPr>
        <w:numPr>
          <w:ilvl w:val="0"/>
          <w:numId w:val="44"/>
        </w:numPr>
        <w:rPr>
          <w:rFonts w:cs="Arial"/>
          <w:szCs w:val="20"/>
        </w:rPr>
      </w:pPr>
      <w:r>
        <w:rPr>
          <w:rFonts w:cs="Arial"/>
          <w:szCs w:val="20"/>
        </w:rPr>
        <w:t>Secondly, the suggestion that tariffs could be 27% lower “</w:t>
      </w:r>
      <w:r w:rsidRPr="002D59B1">
        <w:rPr>
          <w:rFonts w:cs="Arial"/>
          <w:i/>
          <w:szCs w:val="20"/>
        </w:rPr>
        <w:t>were the network to rail at contract</w:t>
      </w:r>
      <w:r>
        <w:rPr>
          <w:rFonts w:cs="Arial"/>
          <w:szCs w:val="20"/>
        </w:rPr>
        <w:t>” implies a belief on Aurizon Network’s part that this is possible.  It is difficult to believe that 214.5mt could not have been handled without the Activities and Initiatives given Aurizon Network’s belief that 268mt could be handled.</w:t>
      </w:r>
      <w:r w:rsidR="001E21FA">
        <w:rPr>
          <w:rFonts w:cs="Arial"/>
          <w:szCs w:val="20"/>
        </w:rPr>
        <w:br/>
      </w:r>
    </w:p>
    <w:p w:rsidR="00361EBF" w:rsidRDefault="001E21FA" w:rsidP="001E21FA">
      <w:pPr>
        <w:ind w:left="0"/>
        <w:rPr>
          <w:rFonts w:cs="Arial"/>
          <w:szCs w:val="20"/>
        </w:rPr>
      </w:pPr>
      <w:r>
        <w:rPr>
          <w:rFonts w:cs="Arial"/>
          <w:szCs w:val="20"/>
        </w:rPr>
        <w:t xml:space="preserve">Aurizon Network bases its claim largely on evidence of throughput records (page 15 of Aurizon Network’s submission).  The misconception that record throughput necessarily indicates improved performance is a concern.  Firstly, as was discussed above, record throughput was a result of record </w:t>
      </w:r>
      <w:r>
        <w:rPr>
          <w:rFonts w:cs="Arial"/>
          <w:szCs w:val="20"/>
        </w:rPr>
        <w:lastRenderedPageBreak/>
        <w:t>mining production, which resulted in existing rail capacity being more fully utilised.  Secondly, when investments are made (and the cost borne by coal producers) to expand the capacity of the supply chain, it should be expected that throughput records can be broken – this indicates nothing about efficiency.</w:t>
      </w:r>
      <w:r w:rsidR="00361EBF">
        <w:rPr>
          <w:rFonts w:cs="Arial"/>
          <w:szCs w:val="20"/>
        </w:rPr>
        <w:t xml:space="preserve">  </w:t>
      </w:r>
    </w:p>
    <w:p w:rsidR="001E21FA" w:rsidRDefault="00361EBF" w:rsidP="001E21FA">
      <w:pPr>
        <w:ind w:left="0"/>
        <w:rPr>
          <w:rFonts w:cs="Arial"/>
          <w:szCs w:val="20"/>
        </w:rPr>
      </w:pPr>
      <w:r>
        <w:rPr>
          <w:rFonts w:cs="Arial"/>
          <w:szCs w:val="20"/>
        </w:rPr>
        <w:t>In this context, we note that Aurizon Network includes three capital projects in its list of Initiatives.  Aurizon Network notes that they “</w:t>
      </w:r>
      <w:r w:rsidRPr="00361EBF">
        <w:rPr>
          <w:rFonts w:cs="Arial"/>
          <w:i/>
          <w:szCs w:val="20"/>
        </w:rPr>
        <w:t>will only earn a regulated return on the value of these projects….yet substantial benefits have accrued to other supply chain participants</w:t>
      </w:r>
      <w:r>
        <w:rPr>
          <w:rFonts w:cs="Arial"/>
          <w:szCs w:val="20"/>
        </w:rPr>
        <w:t xml:space="preserve">”.  The QCA has determined that the WACC is the appropriate return for these investments.  Earning “only” a regulated return does not indicate that an additional payment is required, as the QCA has determined that the providers of debt and equity should find the regulated WACC an acceptable return.  </w:t>
      </w:r>
      <w:r w:rsidR="00F66362">
        <w:rPr>
          <w:rFonts w:cs="Arial"/>
          <w:szCs w:val="20"/>
        </w:rPr>
        <w:t>It is to be expected that “</w:t>
      </w:r>
      <w:r w:rsidR="00F66362" w:rsidRPr="00F66362">
        <w:rPr>
          <w:rFonts w:cs="Arial"/>
          <w:i/>
          <w:szCs w:val="20"/>
        </w:rPr>
        <w:t>substantial benefits have accrued to other supply chain participants</w:t>
      </w:r>
      <w:r w:rsidR="00F66362">
        <w:rPr>
          <w:rFonts w:cs="Arial"/>
          <w:szCs w:val="20"/>
        </w:rPr>
        <w:t xml:space="preserve">” because it is other supply chain participants (coal producers) who service the full cost of these investments.  </w:t>
      </w:r>
      <w:r>
        <w:rPr>
          <w:rFonts w:cs="Arial"/>
          <w:szCs w:val="20"/>
        </w:rPr>
        <w:t xml:space="preserve">The purpose of the Increment is to reward Aurizon Network </w:t>
      </w:r>
      <w:r w:rsidR="00F66362">
        <w:rPr>
          <w:rFonts w:cs="Arial"/>
          <w:szCs w:val="20"/>
        </w:rPr>
        <w:t>when its activities and initiatives result in more</w:t>
      </w:r>
      <w:r>
        <w:rPr>
          <w:rFonts w:cs="Arial"/>
          <w:szCs w:val="20"/>
        </w:rPr>
        <w:t xml:space="preserve"> efficient use of assets </w:t>
      </w:r>
      <w:r w:rsidR="00F66362">
        <w:rPr>
          <w:rFonts w:cs="Arial"/>
          <w:szCs w:val="20"/>
        </w:rPr>
        <w:t xml:space="preserve">and this </w:t>
      </w:r>
      <w:r>
        <w:rPr>
          <w:rFonts w:cs="Arial"/>
          <w:szCs w:val="20"/>
        </w:rPr>
        <w:t>causes throughput to increase, not to provide an additional margin on capital</w:t>
      </w:r>
      <w:r w:rsidR="00F66362">
        <w:rPr>
          <w:rFonts w:cs="Arial"/>
          <w:szCs w:val="20"/>
        </w:rPr>
        <w:t xml:space="preserve"> expenditure simply because that expenditure increases capacity.</w:t>
      </w:r>
    </w:p>
    <w:p w:rsidR="00395462" w:rsidRDefault="00395462" w:rsidP="001E21FA">
      <w:pPr>
        <w:ind w:left="0"/>
        <w:rPr>
          <w:rFonts w:cs="Arial"/>
          <w:szCs w:val="20"/>
        </w:rPr>
      </w:pPr>
    </w:p>
    <w:p w:rsidR="002A6A5D" w:rsidRDefault="00395462" w:rsidP="00395462">
      <w:pPr>
        <w:numPr>
          <w:ilvl w:val="0"/>
          <w:numId w:val="4"/>
        </w:numPr>
        <w:rPr>
          <w:sz w:val="32"/>
          <w:szCs w:val="20"/>
          <w:lang w:val="en-GB"/>
        </w:rPr>
      </w:pPr>
      <w:r w:rsidRPr="00395462">
        <w:rPr>
          <w:sz w:val="32"/>
          <w:szCs w:val="20"/>
          <w:lang w:val="en-GB"/>
        </w:rPr>
        <w:t>Conclusion</w:t>
      </w:r>
    </w:p>
    <w:p w:rsidR="00395462" w:rsidRDefault="00395462" w:rsidP="00395462">
      <w:pPr>
        <w:ind w:left="0"/>
        <w:rPr>
          <w:rFonts w:cs="Arial"/>
          <w:szCs w:val="20"/>
        </w:rPr>
      </w:pPr>
      <w:r w:rsidRPr="00395462">
        <w:rPr>
          <w:rFonts w:cs="Arial"/>
          <w:szCs w:val="20"/>
        </w:rPr>
        <w:t>QRC</w:t>
      </w:r>
      <w:r>
        <w:rPr>
          <w:rFonts w:cs="Arial"/>
          <w:szCs w:val="20"/>
        </w:rPr>
        <w:t xml:space="preserve"> appreciates the efforts of Aurizon Network in regard to the improvements documented in the submission, but </w:t>
      </w:r>
      <w:r w:rsidR="00B22A50">
        <w:rPr>
          <w:rFonts w:cs="Arial"/>
          <w:szCs w:val="20"/>
        </w:rPr>
        <w:t>considers that</w:t>
      </w:r>
      <w:r>
        <w:rPr>
          <w:rFonts w:cs="Arial"/>
          <w:szCs w:val="20"/>
        </w:rPr>
        <w:t xml:space="preserve"> the claimed Increment </w:t>
      </w:r>
      <w:r w:rsidR="00B22A50">
        <w:rPr>
          <w:rFonts w:cs="Arial"/>
          <w:szCs w:val="20"/>
        </w:rPr>
        <w:t>should be rejected for either or both of the following reasons</w:t>
      </w:r>
      <w:r>
        <w:rPr>
          <w:rFonts w:cs="Arial"/>
          <w:szCs w:val="20"/>
        </w:rPr>
        <w:t>:</w:t>
      </w:r>
    </w:p>
    <w:p w:rsidR="00395462" w:rsidRDefault="00395462" w:rsidP="00395462">
      <w:pPr>
        <w:numPr>
          <w:ilvl w:val="0"/>
          <w:numId w:val="43"/>
        </w:numPr>
        <w:rPr>
          <w:rFonts w:cs="Arial"/>
          <w:szCs w:val="20"/>
        </w:rPr>
      </w:pPr>
      <w:r>
        <w:rPr>
          <w:rFonts w:cs="Arial"/>
          <w:szCs w:val="20"/>
        </w:rPr>
        <w:t>The UT3 requirements for an Increment have not been met.</w:t>
      </w:r>
    </w:p>
    <w:p w:rsidR="00395462" w:rsidRDefault="00395462" w:rsidP="00395462">
      <w:pPr>
        <w:numPr>
          <w:ilvl w:val="0"/>
          <w:numId w:val="43"/>
        </w:numPr>
        <w:rPr>
          <w:rFonts w:cs="Arial"/>
          <w:szCs w:val="20"/>
        </w:rPr>
      </w:pPr>
      <w:r>
        <w:rPr>
          <w:rFonts w:cs="Arial"/>
          <w:szCs w:val="20"/>
        </w:rPr>
        <w:t>Any Increment for FY2014 should be assessed based on the final terms of UT4.</w:t>
      </w:r>
    </w:p>
    <w:p w:rsidR="00395462" w:rsidRPr="00395462" w:rsidRDefault="00395462" w:rsidP="00395462">
      <w:pPr>
        <w:ind w:left="0"/>
        <w:rPr>
          <w:rFonts w:cs="Arial"/>
          <w:szCs w:val="20"/>
        </w:rPr>
      </w:pPr>
      <w:r>
        <w:rPr>
          <w:rFonts w:cs="Arial"/>
          <w:szCs w:val="20"/>
        </w:rPr>
        <w:t>QRC supports the development of effective incentive arrangements under UT4.  The need for such arrangements was recognised in UT3, in part, in our view, due to the inappropriateness of retaining the non-symmetrical Increment as the sole incentive</w:t>
      </w:r>
      <w:bookmarkStart w:id="0" w:name="_GoBack"/>
      <w:bookmarkEnd w:id="0"/>
      <w:r>
        <w:rPr>
          <w:rFonts w:cs="Arial"/>
          <w:szCs w:val="20"/>
        </w:rPr>
        <w:t>.</w:t>
      </w:r>
    </w:p>
    <w:p w:rsidR="009D537F" w:rsidRPr="002A6A5D" w:rsidRDefault="009D537F" w:rsidP="00730D6F">
      <w:pPr>
        <w:tabs>
          <w:tab w:val="num" w:pos="426"/>
        </w:tabs>
        <w:ind w:left="0"/>
        <w:rPr>
          <w:rFonts w:cs="Arial"/>
          <w:szCs w:val="20"/>
        </w:rPr>
      </w:pPr>
    </w:p>
    <w:sectPr w:rsidR="009D537F" w:rsidRPr="002A6A5D" w:rsidSect="002D11D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35" w:right="1418" w:bottom="1701"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93" w:rsidRDefault="00BF6893">
      <w:r>
        <w:separator/>
      </w:r>
    </w:p>
  </w:endnote>
  <w:endnote w:type="continuationSeparator" w:id="0">
    <w:p w:rsidR="00BF6893" w:rsidRDefault="00BF6893">
      <w:r>
        <w:continuationSeparator/>
      </w:r>
    </w:p>
  </w:endnote>
  <w:endnote w:type="continuationNotice" w:id="1">
    <w:p w:rsidR="00BF6893" w:rsidRDefault="00BF6893">
      <w:pPr>
        <w:spacing w:after="0"/>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DINMittelschrift">
    <w:altName w:val="DIN-Regula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93" w:rsidRDefault="00B81D4F">
    <w:pPr>
      <w:pStyle w:val="Footer"/>
      <w:framePr w:wrap="around" w:vAnchor="text" w:hAnchor="margin" w:xAlign="right" w:y="1"/>
      <w:rPr>
        <w:rStyle w:val="PageNumber"/>
      </w:rPr>
    </w:pPr>
    <w:r>
      <w:rPr>
        <w:rStyle w:val="PageNumber"/>
      </w:rPr>
      <w:fldChar w:fldCharType="begin"/>
    </w:r>
    <w:r w:rsidR="00BF6893">
      <w:rPr>
        <w:rStyle w:val="PageNumber"/>
      </w:rPr>
      <w:instrText xml:space="preserve">PAGE  </w:instrText>
    </w:r>
    <w:r>
      <w:rPr>
        <w:rStyle w:val="PageNumber"/>
      </w:rPr>
      <w:fldChar w:fldCharType="separate"/>
    </w:r>
    <w:r w:rsidR="00BF6893">
      <w:rPr>
        <w:rStyle w:val="PageNumber"/>
        <w:noProof/>
      </w:rPr>
      <w:t>10</w:t>
    </w:r>
    <w:r>
      <w:rPr>
        <w:rStyle w:val="PageNumber"/>
      </w:rPr>
      <w:fldChar w:fldCharType="end"/>
    </w:r>
  </w:p>
  <w:p w:rsidR="00BF6893" w:rsidRDefault="00BF68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93" w:rsidRDefault="00BF68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93" w:rsidRDefault="00B81D4F">
    <w:pPr>
      <w:pStyle w:val="Footer"/>
      <w:ind w:right="-1010"/>
      <w:jc w:val="right"/>
      <w:rPr>
        <w:rFonts w:ascii="DINMittelschrift" w:hAnsi="DINMittelschrift"/>
        <w:color w:val="000000"/>
      </w:rPr>
    </w:pPr>
    <w:r w:rsidRPr="00B81D4F">
      <w:rPr>
        <w:rFonts w:ascii="DINMittelschrift" w:hAnsi="DINMittelschrift"/>
        <w:noProof/>
        <w:color w:val="00000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051" type="#_x0000_t7" style="position:absolute;left:0;text-align:left;margin-left:2in;margin-top:-108.7pt;width:459pt;height:90pt;z-index:251656192" adj="1664" strokeweight="1pt"/>
      </w:pict>
    </w:r>
    <w:r w:rsidR="00BF6893">
      <w:rPr>
        <w:rFonts w:ascii="DINMittelschrift" w:hAnsi="DINMittelschrift"/>
        <w:color w:val="000000"/>
      </w:rPr>
      <w:t>ABN 59 050 486 952</w:t>
    </w:r>
    <w:r w:rsidR="00BF6893">
      <w:rPr>
        <w:rFonts w:ascii="DINMittelschrift" w:hAnsi="DINMittelschrift"/>
        <w:color w:val="000000"/>
      </w:rPr>
      <w:br/>
      <w:t>Level 13 133 Mary St Brisbane Queensland 4000</w:t>
    </w:r>
    <w:r w:rsidR="00BF6893">
      <w:rPr>
        <w:rFonts w:ascii="DINMittelschrift" w:hAnsi="DINMittelschrift"/>
        <w:color w:val="000000"/>
      </w:rPr>
      <w:br/>
    </w:r>
    <w:r w:rsidR="00BF6893">
      <w:rPr>
        <w:rFonts w:ascii="DINMittelschrift" w:hAnsi="DINMittelschrift"/>
        <w:b/>
        <w:color w:val="000000"/>
        <w:sz w:val="12"/>
      </w:rPr>
      <w:t>T</w:t>
    </w:r>
    <w:r w:rsidR="00BF6893">
      <w:rPr>
        <w:rFonts w:ascii="DINMittelschrift" w:hAnsi="DINMittelschrift"/>
        <w:b/>
        <w:color w:val="000000"/>
        <w:sz w:val="16"/>
      </w:rPr>
      <w:t xml:space="preserve"> </w:t>
    </w:r>
    <w:r w:rsidR="00BF6893">
      <w:rPr>
        <w:rFonts w:ascii="DINMittelschrift" w:hAnsi="DINMittelschrift"/>
        <w:b/>
        <w:color w:val="000000"/>
      </w:rPr>
      <w:t>07 3295 9560</w:t>
    </w:r>
    <w:r w:rsidR="00BF6893">
      <w:rPr>
        <w:rFonts w:ascii="DINMittelschrift" w:hAnsi="DINMittelschrift"/>
        <w:color w:val="000000"/>
      </w:rPr>
      <w:t xml:space="preserve">  </w:t>
    </w:r>
    <w:r w:rsidR="00BF6893">
      <w:rPr>
        <w:rFonts w:ascii="DINMittelschrift" w:hAnsi="DINMittelschrift"/>
        <w:b/>
        <w:color w:val="000000"/>
        <w:sz w:val="12"/>
      </w:rPr>
      <w:t xml:space="preserve">F </w:t>
    </w:r>
    <w:r w:rsidR="00BF6893">
      <w:rPr>
        <w:rFonts w:ascii="DINMittelschrift" w:hAnsi="DINMittelschrift"/>
        <w:color w:val="000000"/>
      </w:rPr>
      <w:t xml:space="preserve">07 3295 9570  </w:t>
    </w:r>
    <w:r w:rsidR="00BF6893">
      <w:rPr>
        <w:rFonts w:ascii="DINMittelschrift" w:hAnsi="DINMittelschrift"/>
        <w:b/>
        <w:color w:val="000000"/>
        <w:sz w:val="12"/>
      </w:rPr>
      <w:t>E</w:t>
    </w:r>
    <w:r w:rsidR="00BF6893">
      <w:rPr>
        <w:rFonts w:ascii="DINMittelschrift" w:hAnsi="DINMittelschrift"/>
        <w:color w:val="000000"/>
      </w:rPr>
      <w:t xml:space="preserve"> info@qrc.org.au</w:t>
    </w:r>
  </w:p>
  <w:p w:rsidR="00BF6893" w:rsidRDefault="00BF6893">
    <w:pPr>
      <w:pStyle w:val="Footer"/>
      <w:jc w:val="right"/>
      <w:rPr>
        <w:rFonts w:ascii="DINMittelschrift" w:hAnsi="DINMittelschrift"/>
        <w:color w:val="000000"/>
      </w:rPr>
    </w:pPr>
  </w:p>
  <w:p w:rsidR="00BF6893" w:rsidRDefault="00BF6893">
    <w:pPr>
      <w:pStyle w:val="Footer"/>
      <w:ind w:right="-1010"/>
      <w:jc w:val="right"/>
      <w:rPr>
        <w:rFonts w:ascii="DINMittelschrift" w:hAnsi="DINMittelschrift"/>
        <w:b/>
        <w:color w:val="000000"/>
      </w:rPr>
    </w:pPr>
    <w:r>
      <w:rPr>
        <w:rFonts w:ascii="DINMittelschrift" w:hAnsi="DINMittelschrift"/>
        <w:b/>
        <w:color w:val="000000"/>
      </w:rPr>
      <w:t>www.qrc.org.au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93" w:rsidRDefault="00BF6893">
      <w:r>
        <w:separator/>
      </w:r>
    </w:p>
  </w:footnote>
  <w:footnote w:type="continuationSeparator" w:id="0">
    <w:p w:rsidR="00BF6893" w:rsidRDefault="00BF6893">
      <w:r>
        <w:continuationSeparator/>
      </w:r>
    </w:p>
  </w:footnote>
  <w:footnote w:type="continuationNotice" w:id="1">
    <w:p w:rsidR="00BF6893" w:rsidRDefault="00BF6893">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93" w:rsidRDefault="00B81D4F">
    <w:pPr>
      <w:pStyle w:val="Header"/>
      <w:framePr w:wrap="around" w:vAnchor="text" w:hAnchor="margin" w:xAlign="right" w:y="1"/>
      <w:rPr>
        <w:rStyle w:val="PageNumber"/>
      </w:rPr>
    </w:pPr>
    <w:r>
      <w:rPr>
        <w:rStyle w:val="PageNumber"/>
      </w:rPr>
      <w:fldChar w:fldCharType="begin"/>
    </w:r>
    <w:r w:rsidR="00BF6893">
      <w:rPr>
        <w:rStyle w:val="PageNumber"/>
      </w:rPr>
      <w:instrText xml:space="preserve">PAGE  </w:instrText>
    </w:r>
    <w:r>
      <w:rPr>
        <w:rStyle w:val="PageNumber"/>
      </w:rPr>
      <w:fldChar w:fldCharType="separate"/>
    </w:r>
    <w:r w:rsidR="00BF6893">
      <w:rPr>
        <w:rStyle w:val="PageNumber"/>
        <w:noProof/>
      </w:rPr>
      <w:t>10</w:t>
    </w:r>
    <w:r>
      <w:rPr>
        <w:rStyle w:val="PageNumber"/>
      </w:rPr>
      <w:fldChar w:fldCharType="end"/>
    </w:r>
  </w:p>
  <w:p w:rsidR="00BF6893" w:rsidRDefault="00BF689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93" w:rsidRDefault="00BF6893" w:rsidP="003E3883">
    <w:pPr>
      <w:pStyle w:val="Header"/>
      <w:framePr w:wrap="around" w:vAnchor="text" w:hAnchor="page" w:x="9769" w:y="1330"/>
      <w:rPr>
        <w:rStyle w:val="PageNumber"/>
        <w:rFonts w:ascii="DINMittelschrift" w:hAnsi="DINMittelschrift"/>
        <w:color w:val="FFFFFF"/>
      </w:rPr>
    </w:pPr>
    <w:r>
      <w:rPr>
        <w:rStyle w:val="PageNumber"/>
        <w:rFonts w:ascii="DINMittelschrift" w:hAnsi="DINMittelschrift"/>
        <w:color w:val="FFFFFF"/>
      </w:rPr>
      <w:t xml:space="preserve">Page </w:t>
    </w:r>
    <w:r w:rsidR="00B81D4F">
      <w:rPr>
        <w:rStyle w:val="PageNumber"/>
        <w:rFonts w:ascii="DINMittelschrift" w:hAnsi="DINMittelschrift"/>
        <w:color w:val="FFFFFF"/>
      </w:rPr>
      <w:fldChar w:fldCharType="begin"/>
    </w:r>
    <w:r>
      <w:rPr>
        <w:rStyle w:val="PageNumber"/>
        <w:rFonts w:ascii="DINMittelschrift" w:hAnsi="DINMittelschrift"/>
        <w:color w:val="FFFFFF"/>
      </w:rPr>
      <w:instrText xml:space="preserve">PAGE  </w:instrText>
    </w:r>
    <w:r w:rsidR="00B81D4F">
      <w:rPr>
        <w:rStyle w:val="PageNumber"/>
        <w:rFonts w:ascii="DINMittelschrift" w:hAnsi="DINMittelschrift"/>
        <w:color w:val="FFFFFF"/>
      </w:rPr>
      <w:fldChar w:fldCharType="separate"/>
    </w:r>
    <w:r w:rsidR="00982D3E">
      <w:rPr>
        <w:rStyle w:val="PageNumber"/>
        <w:rFonts w:ascii="DINMittelschrift" w:hAnsi="DINMittelschrift"/>
        <w:noProof/>
        <w:color w:val="FFFFFF"/>
      </w:rPr>
      <w:t>2</w:t>
    </w:r>
    <w:r w:rsidR="00B81D4F">
      <w:rPr>
        <w:rStyle w:val="PageNumber"/>
        <w:rFonts w:ascii="DINMittelschrift" w:hAnsi="DINMittelschrift"/>
        <w:color w:val="FFFFFF"/>
      </w:rPr>
      <w:fldChar w:fldCharType="end"/>
    </w:r>
  </w:p>
  <w:p w:rsidR="00BF6893" w:rsidRDefault="00B81D4F">
    <w:pPr>
      <w:pStyle w:val="Header"/>
      <w:ind w:right="360"/>
    </w:pPr>
    <w:r w:rsidRPr="00B81D4F">
      <w:rPr>
        <w:noProof/>
      </w:rPr>
      <w:pict>
        <v:shapetype id="_x0000_t202" coordsize="21600,21600" o:spt="202" path="m,l,21600r21600,l21600,xe">
          <v:stroke joinstyle="miter"/>
          <v:path gradientshapeok="t" o:connecttype="rect"/>
        </v:shapetype>
        <v:shape id="_x0000_s2055" type="#_x0000_t202" style="position:absolute;left:0;text-align:left;margin-left:-9pt;margin-top:59.4pt;width:126pt;height:27pt;z-index:251658240" filled="f" stroked="f">
          <v:textbox style="mso-next-textbox:#_x0000_s2055">
            <w:txbxContent>
              <w:p w:rsidR="00BF6893" w:rsidRDefault="00BF6893">
                <w:pPr>
                  <w:rPr>
                    <w:rFonts w:ascii="DINMittelschrift" w:hAnsi="DINMittelschrift"/>
                    <w:color w:val="FFFFFF"/>
                    <w:sz w:val="32"/>
                  </w:rPr>
                </w:pPr>
                <w:r>
                  <w:rPr>
                    <w:rFonts w:ascii="DINMittelschrift" w:hAnsi="DINMittelschrift"/>
                    <w:color w:val="FFFFFF"/>
                    <w:sz w:val="32"/>
                  </w:rPr>
                  <w:t>QRC submission</w:t>
                </w:r>
              </w:p>
            </w:txbxContent>
          </v:textbox>
        </v:shape>
      </w:pict>
    </w:r>
    <w:r w:rsidRPr="00B81D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7.95pt;margin-top:24.75pt;width:551.95pt;height:88.75pt;z-index:-251659264;mso-wrap-edited:f;mso-position-vertical-relative:page" wrapcoords="-36 0 -36 21377 21600 21377 21600 0 -36 0">
          <v:imagedata r:id="rId1" o:title="QRC powerpoint header bw"/>
          <w10:wrap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93" w:rsidRDefault="00B81D4F">
    <w:pPr>
      <w:pStyle w:val="Header"/>
    </w:pPr>
    <w:r w:rsidRPr="00B81D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27pt;margin-top:105.75pt;width:362pt;height:530pt;z-index:-251657216;mso-position-vertical-relative:page">
          <v:imagedata r:id="rId1" o:title="2 tone_light2"/>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AAD2A8"/>
    <w:lvl w:ilvl="0">
      <w:numFmt w:val="bullet"/>
      <w:lvlText w:val="-"/>
      <w:lvlJc w:val="left"/>
      <w:pPr>
        <w:ind w:left="1211" w:hanging="360"/>
      </w:pPr>
      <w:rPr>
        <w:rFonts w:ascii="Calibri" w:eastAsia="Calibri" w:hAnsi="Calibri" w:cs="Calibri" w:hint="default"/>
      </w:rPr>
    </w:lvl>
  </w:abstractNum>
  <w:abstractNum w:abstractNumId="1">
    <w:nsid w:val="02F639DB"/>
    <w:multiLevelType w:val="hybridMultilevel"/>
    <w:tmpl w:val="1B3E990A"/>
    <w:lvl w:ilvl="0" w:tplc="7EAAD2A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3001FA"/>
    <w:multiLevelType w:val="hybridMultilevel"/>
    <w:tmpl w:val="21726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3F62FDB"/>
    <w:multiLevelType w:val="hybridMultilevel"/>
    <w:tmpl w:val="5DA644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6DD6A6F"/>
    <w:multiLevelType w:val="hybridMultilevel"/>
    <w:tmpl w:val="1DE2AB78"/>
    <w:lvl w:ilvl="0" w:tplc="7EAAD2A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7E33B5B"/>
    <w:multiLevelType w:val="hybridMultilevel"/>
    <w:tmpl w:val="C73A9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931480A"/>
    <w:multiLevelType w:val="hybridMultilevel"/>
    <w:tmpl w:val="74460948"/>
    <w:lvl w:ilvl="0" w:tplc="7EAAD2A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BE75910"/>
    <w:multiLevelType w:val="hybridMultilevel"/>
    <w:tmpl w:val="00AA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366A8D"/>
    <w:multiLevelType w:val="hybridMultilevel"/>
    <w:tmpl w:val="DCF67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1114E2"/>
    <w:multiLevelType w:val="hybridMultilevel"/>
    <w:tmpl w:val="B142B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8703D6D"/>
    <w:multiLevelType w:val="multilevel"/>
    <w:tmpl w:val="7026032A"/>
    <w:name w:val="FreehillsNumbering"/>
    <w:lvl w:ilvl="0">
      <w:start w:val="1"/>
      <w:numFmt w:val="decimal"/>
      <w:lvlText w:val="%1"/>
      <w:lvlJc w:val="left"/>
      <w:pPr>
        <w:tabs>
          <w:tab w:val="num" w:pos="0"/>
        </w:tabs>
        <w:ind w:left="851" w:hanging="851"/>
      </w:pPr>
      <w:rPr>
        <w:rFonts w:ascii="Arial" w:hAnsi="Arial" w:hint="default"/>
        <w:b w:val="0"/>
        <w:i w:val="0"/>
        <w:sz w:val="28"/>
      </w:rPr>
    </w:lvl>
    <w:lvl w:ilvl="1">
      <w:start w:val="1"/>
      <w:numFmt w:val="decimal"/>
      <w:lvlText w:val="%1.%2"/>
      <w:lvlJc w:val="left"/>
      <w:pPr>
        <w:tabs>
          <w:tab w:val="num" w:pos="0"/>
        </w:tabs>
        <w:ind w:left="851" w:hanging="851"/>
      </w:pPr>
      <w:rPr>
        <w:rFonts w:ascii="Arial" w:hAnsi="Arial" w:hint="default"/>
        <w:b/>
        <w:sz w:val="24"/>
      </w:rPr>
    </w:lvl>
    <w:lvl w:ilvl="2">
      <w:start w:val="1"/>
      <w:numFmt w:val="lowerLetter"/>
      <w:lvlText w:val="(%3)"/>
      <w:lvlJc w:val="left"/>
      <w:pPr>
        <w:tabs>
          <w:tab w:val="num" w:pos="0"/>
        </w:tabs>
        <w:ind w:left="1701" w:hanging="851"/>
      </w:pPr>
      <w:rPr>
        <w:rFonts w:ascii="Arial" w:hAnsi="Arial" w:hint="default"/>
        <w:b w:val="0"/>
        <w:sz w:val="20"/>
      </w:rPr>
    </w:lvl>
    <w:lvl w:ilvl="3">
      <w:start w:val="1"/>
      <w:numFmt w:val="decimal"/>
      <w:lvlText w:val="(%4)"/>
      <w:lvlJc w:val="left"/>
      <w:pPr>
        <w:tabs>
          <w:tab w:val="num" w:pos="1702"/>
        </w:tabs>
        <w:ind w:left="2553" w:hanging="851"/>
      </w:pPr>
      <w:rPr>
        <w:rFonts w:ascii="Arial" w:hAnsi="Arial" w:hint="default"/>
        <w:b w:val="0"/>
      </w:rPr>
    </w:lvl>
    <w:lvl w:ilvl="4">
      <w:start w:val="1"/>
      <w:numFmt w:val="upperLetter"/>
      <w:lvlText w:val="(%5)"/>
      <w:lvlJc w:val="left"/>
      <w:pPr>
        <w:tabs>
          <w:tab w:val="num" w:pos="2553"/>
        </w:tabs>
        <w:ind w:left="2553" w:hanging="851"/>
      </w:pPr>
      <w:rPr>
        <w:rFonts w:ascii="Arial" w:hAnsi="Arial" w:hint="default"/>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1701" w:hanging="851"/>
      </w:pPr>
      <w:rPr>
        <w:rFonts w:ascii="Arial" w:hAnsi="Arial" w:hint="default"/>
        <w:b w:val="0"/>
        <w:sz w:val="20"/>
      </w:rPr>
    </w:lvl>
    <w:lvl w:ilvl="8">
      <w:start w:val="1"/>
      <w:numFmt w:val="decimal"/>
      <w:lvlText w:val="(%9)"/>
      <w:lvlJc w:val="left"/>
      <w:pPr>
        <w:tabs>
          <w:tab w:val="num" w:pos="1702"/>
        </w:tabs>
        <w:ind w:left="2553" w:hanging="851"/>
      </w:pPr>
      <w:rPr>
        <w:rFonts w:ascii="Arial" w:hAnsi="Arial" w:hint="default"/>
      </w:rPr>
    </w:lvl>
  </w:abstractNum>
  <w:abstractNum w:abstractNumId="11">
    <w:nsid w:val="1A4871EA"/>
    <w:multiLevelType w:val="hybridMultilevel"/>
    <w:tmpl w:val="BF688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AFF5EBE"/>
    <w:multiLevelType w:val="hybridMultilevel"/>
    <w:tmpl w:val="F4087D34"/>
    <w:lvl w:ilvl="0" w:tplc="0B84394E">
      <w:start w:val="1"/>
      <w:numFmt w:val="decimal"/>
      <w:lvlText w:val="%1."/>
      <w:lvlJc w:val="left"/>
      <w:pPr>
        <w:ind w:left="360" w:hanging="360"/>
      </w:pPr>
      <w:rPr>
        <w:b w:val="0"/>
        <w:sz w:val="32"/>
        <w:szCs w:val="3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C3D10E8"/>
    <w:multiLevelType w:val="hybridMultilevel"/>
    <w:tmpl w:val="68FE66A6"/>
    <w:lvl w:ilvl="0" w:tplc="7EAAD2A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szCs w:val="16"/>
      </w:rPr>
    </w:lvl>
  </w:abstractNum>
  <w:abstractNum w:abstractNumId="15">
    <w:nsid w:val="1F9D789A"/>
    <w:multiLevelType w:val="hybridMultilevel"/>
    <w:tmpl w:val="F836C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515578A"/>
    <w:multiLevelType w:val="hybridMultilevel"/>
    <w:tmpl w:val="345061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EE37971"/>
    <w:multiLevelType w:val="multilevel"/>
    <w:tmpl w:val="E20C6664"/>
    <w:lvl w:ilvl="0">
      <w:start w:val="1"/>
      <w:numFmt w:val="decimal"/>
      <w:pStyle w:val="Heading1"/>
      <w:lvlText w:val="%1"/>
      <w:lvlJc w:val="left"/>
      <w:pPr>
        <w:tabs>
          <w:tab w:val="num" w:pos="851"/>
        </w:tabs>
        <w:ind w:left="851" w:hanging="851"/>
      </w:pPr>
      <w:rPr>
        <w:rFonts w:ascii="Arial" w:hAnsi="Arial" w:hint="default"/>
        <w:b w:val="0"/>
        <w:i w:val="0"/>
        <w:sz w:val="32"/>
      </w:rPr>
    </w:lvl>
    <w:lvl w:ilvl="1">
      <w:start w:val="1"/>
      <w:numFmt w:val="decimal"/>
      <w:pStyle w:val="Heading2"/>
      <w:lvlText w:val="%1.%2"/>
      <w:lvlJc w:val="left"/>
      <w:pPr>
        <w:tabs>
          <w:tab w:val="num" w:pos="851"/>
        </w:tabs>
        <w:ind w:left="851" w:hanging="851"/>
      </w:pPr>
      <w:rPr>
        <w:rFonts w:ascii="Arial Bold" w:hAnsi="Arial Bold" w:hint="default"/>
        <w:b/>
        <w:sz w:val="24"/>
      </w:rPr>
    </w:lvl>
    <w:lvl w:ilvl="2">
      <w:start w:val="1"/>
      <w:numFmt w:val="lowerLetter"/>
      <w:pStyle w:val="Heading3"/>
      <w:lvlText w:val="(%3)"/>
      <w:lvlJc w:val="left"/>
      <w:pPr>
        <w:tabs>
          <w:tab w:val="num" w:pos="-540"/>
        </w:tabs>
        <w:ind w:left="311" w:hanging="851"/>
      </w:pPr>
      <w:rPr>
        <w:rFonts w:ascii="Arial" w:hAnsi="Arial" w:hint="default"/>
        <w:b w:val="0"/>
        <w:sz w:val="20"/>
      </w:rPr>
    </w:lvl>
    <w:lvl w:ilvl="3">
      <w:start w:val="1"/>
      <w:numFmt w:val="decimal"/>
      <w:pStyle w:val="Heading4"/>
      <w:lvlText w:val="(%4)"/>
      <w:lvlJc w:val="left"/>
      <w:pPr>
        <w:tabs>
          <w:tab w:val="num" w:pos="1162"/>
        </w:tabs>
        <w:ind w:left="1162" w:hanging="851"/>
      </w:pPr>
      <w:rPr>
        <w:rFonts w:ascii="Arial" w:hAnsi="Arial" w:hint="default"/>
      </w:rPr>
    </w:lvl>
    <w:lvl w:ilvl="4">
      <w:start w:val="1"/>
      <w:numFmt w:val="upperLetter"/>
      <w:pStyle w:val="Heading5"/>
      <w:lvlText w:val="(%5)"/>
      <w:lvlJc w:val="left"/>
      <w:pPr>
        <w:tabs>
          <w:tab w:val="num" w:pos="2013"/>
        </w:tabs>
        <w:ind w:left="2013" w:hanging="851"/>
      </w:pPr>
      <w:rPr>
        <w:rFonts w:ascii="Arial" w:hAnsi="Arial" w:hint="default"/>
      </w:rPr>
    </w:lvl>
    <w:lvl w:ilvl="5">
      <w:start w:val="1"/>
      <w:numFmt w:val="decimal"/>
      <w:pStyle w:val="NoTOCHdg1"/>
      <w:lvlText w:val="%6"/>
      <w:lvlJc w:val="left"/>
      <w:pPr>
        <w:tabs>
          <w:tab w:val="num" w:pos="-540"/>
        </w:tabs>
        <w:ind w:left="311" w:hanging="851"/>
      </w:pPr>
      <w:rPr>
        <w:rFonts w:ascii="Arial" w:hAnsi="Arial" w:hint="default"/>
        <w:sz w:val="28"/>
      </w:rPr>
    </w:lvl>
    <w:lvl w:ilvl="6">
      <w:start w:val="1"/>
      <w:numFmt w:val="decimal"/>
      <w:pStyle w:val="NoTOCHdg2"/>
      <w:lvlText w:val="%6.%7"/>
      <w:lvlJc w:val="left"/>
      <w:pPr>
        <w:tabs>
          <w:tab w:val="num" w:pos="-540"/>
        </w:tabs>
        <w:ind w:left="311" w:hanging="851"/>
      </w:pPr>
      <w:rPr>
        <w:rFonts w:ascii="Arial" w:hAnsi="Arial" w:hint="default"/>
        <w:b/>
        <w:sz w:val="24"/>
      </w:rPr>
    </w:lvl>
    <w:lvl w:ilvl="7">
      <w:start w:val="1"/>
      <w:numFmt w:val="lowerLetter"/>
      <w:pStyle w:val="NoTOCHdg3"/>
      <w:lvlText w:val="(%8)"/>
      <w:lvlJc w:val="left"/>
      <w:pPr>
        <w:tabs>
          <w:tab w:val="num" w:pos="-540"/>
        </w:tabs>
        <w:ind w:left="311" w:hanging="851"/>
      </w:pPr>
      <w:rPr>
        <w:rFonts w:ascii="Arial" w:hAnsi="Arial" w:hint="default"/>
        <w:b w:val="0"/>
        <w:sz w:val="20"/>
      </w:rPr>
    </w:lvl>
    <w:lvl w:ilvl="8">
      <w:start w:val="1"/>
      <w:numFmt w:val="decimal"/>
      <w:pStyle w:val="NoTOCHdg4"/>
      <w:lvlText w:val="(%9)"/>
      <w:lvlJc w:val="left"/>
      <w:pPr>
        <w:tabs>
          <w:tab w:val="num" w:pos="1162"/>
        </w:tabs>
        <w:ind w:left="1162" w:hanging="851"/>
      </w:pPr>
      <w:rPr>
        <w:rFonts w:ascii="Arial" w:hAnsi="Arial" w:hint="default"/>
      </w:rPr>
    </w:lvl>
  </w:abstractNum>
  <w:abstractNum w:abstractNumId="18">
    <w:nsid w:val="353E5C04"/>
    <w:multiLevelType w:val="hybridMultilevel"/>
    <w:tmpl w:val="759C4E70"/>
    <w:lvl w:ilvl="0" w:tplc="7EAAD2A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BA7F84"/>
    <w:multiLevelType w:val="hybridMultilevel"/>
    <w:tmpl w:val="49165B56"/>
    <w:lvl w:ilvl="0" w:tplc="0B84394E">
      <w:start w:val="1"/>
      <w:numFmt w:val="decimal"/>
      <w:lvlText w:val="%1."/>
      <w:lvlJc w:val="left"/>
      <w:pPr>
        <w:ind w:left="360" w:hanging="360"/>
      </w:pPr>
      <w:rPr>
        <w:b w:val="0"/>
        <w:sz w:val="32"/>
        <w:szCs w:val="3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9A03997"/>
    <w:multiLevelType w:val="hybridMultilevel"/>
    <w:tmpl w:val="3FA62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F865A9"/>
    <w:multiLevelType w:val="hybridMultilevel"/>
    <w:tmpl w:val="B14C33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A88191D"/>
    <w:multiLevelType w:val="hybridMultilevel"/>
    <w:tmpl w:val="4DD2DF0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B1A5B69"/>
    <w:multiLevelType w:val="hybridMultilevel"/>
    <w:tmpl w:val="273689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C581712"/>
    <w:multiLevelType w:val="hybridMultilevel"/>
    <w:tmpl w:val="ECF65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5A774F"/>
    <w:multiLevelType w:val="hybridMultilevel"/>
    <w:tmpl w:val="CAEC37C8"/>
    <w:lvl w:ilvl="0" w:tplc="7EAAD2A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5C0181"/>
    <w:multiLevelType w:val="hybridMultilevel"/>
    <w:tmpl w:val="BECC5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65A09F2"/>
    <w:multiLevelType w:val="hybridMultilevel"/>
    <w:tmpl w:val="682825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B6D1C65"/>
    <w:multiLevelType w:val="hybridMultilevel"/>
    <w:tmpl w:val="02861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B36377"/>
    <w:multiLevelType w:val="hybridMultilevel"/>
    <w:tmpl w:val="2EEC5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DC81ACD"/>
    <w:multiLevelType w:val="hybridMultilevel"/>
    <w:tmpl w:val="BD946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8F38C3"/>
    <w:multiLevelType w:val="hybridMultilevel"/>
    <w:tmpl w:val="82C4FC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0D6324B"/>
    <w:multiLevelType w:val="hybridMultilevel"/>
    <w:tmpl w:val="3DFAE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0DB0918"/>
    <w:multiLevelType w:val="hybridMultilevel"/>
    <w:tmpl w:val="3412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2B625B6"/>
    <w:multiLevelType w:val="hybridMultilevel"/>
    <w:tmpl w:val="EF343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4F1464A"/>
    <w:multiLevelType w:val="hybridMultilevel"/>
    <w:tmpl w:val="76C86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5C872E4"/>
    <w:multiLevelType w:val="hybridMultilevel"/>
    <w:tmpl w:val="D07A6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785201B"/>
    <w:multiLevelType w:val="hybridMultilevel"/>
    <w:tmpl w:val="E8627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B805551"/>
    <w:multiLevelType w:val="hybridMultilevel"/>
    <w:tmpl w:val="8A765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D25790F"/>
    <w:multiLevelType w:val="hybridMultilevel"/>
    <w:tmpl w:val="328C7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58255C2"/>
    <w:multiLevelType w:val="hybridMultilevel"/>
    <w:tmpl w:val="5A3042CA"/>
    <w:lvl w:ilvl="0" w:tplc="7EAAD2A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327148"/>
    <w:multiLevelType w:val="hybridMultilevel"/>
    <w:tmpl w:val="4B28B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EC795B"/>
    <w:multiLevelType w:val="hybridMultilevel"/>
    <w:tmpl w:val="F6D4E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F3A2CE4"/>
    <w:multiLevelType w:val="hybridMultilevel"/>
    <w:tmpl w:val="423C8D4C"/>
    <w:lvl w:ilvl="0" w:tplc="7EAAD2A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897BDD"/>
    <w:multiLevelType w:val="hybridMultilevel"/>
    <w:tmpl w:val="2D12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19"/>
  </w:num>
  <w:num w:numId="5">
    <w:abstractNumId w:val="1"/>
  </w:num>
  <w:num w:numId="6">
    <w:abstractNumId w:val="40"/>
  </w:num>
  <w:num w:numId="7">
    <w:abstractNumId w:val="18"/>
  </w:num>
  <w:num w:numId="8">
    <w:abstractNumId w:val="43"/>
  </w:num>
  <w:num w:numId="9">
    <w:abstractNumId w:val="6"/>
  </w:num>
  <w:num w:numId="10">
    <w:abstractNumId w:val="25"/>
  </w:num>
  <w:num w:numId="11">
    <w:abstractNumId w:val="13"/>
  </w:num>
  <w:num w:numId="12">
    <w:abstractNumId w:val="4"/>
  </w:num>
  <w:num w:numId="13">
    <w:abstractNumId w:val="31"/>
  </w:num>
  <w:num w:numId="14">
    <w:abstractNumId w:val="26"/>
  </w:num>
  <w:num w:numId="15">
    <w:abstractNumId w:val="22"/>
  </w:num>
  <w:num w:numId="16">
    <w:abstractNumId w:val="2"/>
  </w:num>
  <w:num w:numId="17">
    <w:abstractNumId w:val="23"/>
  </w:num>
  <w:num w:numId="18">
    <w:abstractNumId w:val="7"/>
  </w:num>
  <w:num w:numId="19">
    <w:abstractNumId w:val="12"/>
  </w:num>
  <w:num w:numId="20">
    <w:abstractNumId w:val="20"/>
  </w:num>
  <w:num w:numId="21">
    <w:abstractNumId w:val="8"/>
  </w:num>
  <w:num w:numId="22">
    <w:abstractNumId w:val="21"/>
  </w:num>
  <w:num w:numId="23">
    <w:abstractNumId w:val="11"/>
  </w:num>
  <w:num w:numId="24">
    <w:abstractNumId w:val="3"/>
  </w:num>
  <w:num w:numId="25">
    <w:abstractNumId w:val="36"/>
  </w:num>
  <w:num w:numId="26">
    <w:abstractNumId w:val="28"/>
  </w:num>
  <w:num w:numId="27">
    <w:abstractNumId w:val="37"/>
  </w:num>
  <w:num w:numId="28">
    <w:abstractNumId w:val="41"/>
  </w:num>
  <w:num w:numId="29">
    <w:abstractNumId w:val="15"/>
  </w:num>
  <w:num w:numId="30">
    <w:abstractNumId w:val="42"/>
  </w:num>
  <w:num w:numId="31">
    <w:abstractNumId w:val="16"/>
  </w:num>
  <w:num w:numId="32">
    <w:abstractNumId w:val="44"/>
  </w:num>
  <w:num w:numId="33">
    <w:abstractNumId w:val="32"/>
  </w:num>
  <w:num w:numId="34">
    <w:abstractNumId w:val="33"/>
  </w:num>
  <w:num w:numId="35">
    <w:abstractNumId w:val="24"/>
  </w:num>
  <w:num w:numId="36">
    <w:abstractNumId w:val="30"/>
  </w:num>
  <w:num w:numId="37">
    <w:abstractNumId w:val="27"/>
  </w:num>
  <w:num w:numId="38">
    <w:abstractNumId w:val="5"/>
  </w:num>
  <w:num w:numId="39">
    <w:abstractNumId w:val="39"/>
  </w:num>
  <w:num w:numId="40">
    <w:abstractNumId w:val="9"/>
  </w:num>
  <w:num w:numId="41">
    <w:abstractNumId w:val="29"/>
  </w:num>
  <w:num w:numId="42">
    <w:abstractNumId w:val="38"/>
  </w:num>
  <w:num w:numId="43">
    <w:abstractNumId w:val="34"/>
  </w:num>
  <w:num w:numId="44">
    <w:abstractNumId w:val="3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NotTrackMoves/>
  <w:defaultTabStop w:val="720"/>
  <w:noPunctuationKerning/>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8D2"/>
    <w:rsid w:val="00004433"/>
    <w:rsid w:val="000062A7"/>
    <w:rsid w:val="00033CE1"/>
    <w:rsid w:val="000374C5"/>
    <w:rsid w:val="00053A26"/>
    <w:rsid w:val="000543AA"/>
    <w:rsid w:val="000544C0"/>
    <w:rsid w:val="000559D1"/>
    <w:rsid w:val="0006126C"/>
    <w:rsid w:val="0006393A"/>
    <w:rsid w:val="00081BCB"/>
    <w:rsid w:val="00086DA0"/>
    <w:rsid w:val="00093725"/>
    <w:rsid w:val="000D1474"/>
    <w:rsid w:val="000D2CEC"/>
    <w:rsid w:val="000D2EF7"/>
    <w:rsid w:val="000E3175"/>
    <w:rsid w:val="000E7F1E"/>
    <w:rsid w:val="000F0F13"/>
    <w:rsid w:val="00101D1D"/>
    <w:rsid w:val="00102347"/>
    <w:rsid w:val="00102A1F"/>
    <w:rsid w:val="001105F8"/>
    <w:rsid w:val="0011451A"/>
    <w:rsid w:val="00117C1F"/>
    <w:rsid w:val="001611B9"/>
    <w:rsid w:val="00164193"/>
    <w:rsid w:val="00176C72"/>
    <w:rsid w:val="001820B6"/>
    <w:rsid w:val="00186D05"/>
    <w:rsid w:val="00194381"/>
    <w:rsid w:val="00195814"/>
    <w:rsid w:val="001B1067"/>
    <w:rsid w:val="001B62B2"/>
    <w:rsid w:val="001C02F8"/>
    <w:rsid w:val="001C2D3A"/>
    <w:rsid w:val="001C5FA7"/>
    <w:rsid w:val="001E1711"/>
    <w:rsid w:val="001E21FA"/>
    <w:rsid w:val="002024EF"/>
    <w:rsid w:val="002068BC"/>
    <w:rsid w:val="002074A8"/>
    <w:rsid w:val="0022002C"/>
    <w:rsid w:val="00221F67"/>
    <w:rsid w:val="0022603B"/>
    <w:rsid w:val="0023401D"/>
    <w:rsid w:val="00234BF1"/>
    <w:rsid w:val="00242DAD"/>
    <w:rsid w:val="002520F1"/>
    <w:rsid w:val="00253749"/>
    <w:rsid w:val="00260D26"/>
    <w:rsid w:val="00265F61"/>
    <w:rsid w:val="002726B1"/>
    <w:rsid w:val="00292B17"/>
    <w:rsid w:val="00296EDA"/>
    <w:rsid w:val="002A6A5D"/>
    <w:rsid w:val="002D11DC"/>
    <w:rsid w:val="002D4951"/>
    <w:rsid w:val="002D59B1"/>
    <w:rsid w:val="002E0F32"/>
    <w:rsid w:val="002E212B"/>
    <w:rsid w:val="002F2E9E"/>
    <w:rsid w:val="002F5BEE"/>
    <w:rsid w:val="003256FE"/>
    <w:rsid w:val="003265CC"/>
    <w:rsid w:val="00327DC0"/>
    <w:rsid w:val="00332C31"/>
    <w:rsid w:val="0033555A"/>
    <w:rsid w:val="00361EBF"/>
    <w:rsid w:val="003802B2"/>
    <w:rsid w:val="003837D6"/>
    <w:rsid w:val="00383B97"/>
    <w:rsid w:val="00395462"/>
    <w:rsid w:val="00396384"/>
    <w:rsid w:val="003A2E4F"/>
    <w:rsid w:val="003A6F7B"/>
    <w:rsid w:val="003B1A15"/>
    <w:rsid w:val="003B497A"/>
    <w:rsid w:val="003C766E"/>
    <w:rsid w:val="003E3883"/>
    <w:rsid w:val="003E4A93"/>
    <w:rsid w:val="00413EBA"/>
    <w:rsid w:val="004354F0"/>
    <w:rsid w:val="00440C0A"/>
    <w:rsid w:val="00441144"/>
    <w:rsid w:val="00445979"/>
    <w:rsid w:val="00450B85"/>
    <w:rsid w:val="00471579"/>
    <w:rsid w:val="00474C34"/>
    <w:rsid w:val="00476B4F"/>
    <w:rsid w:val="00487E2B"/>
    <w:rsid w:val="004913E3"/>
    <w:rsid w:val="0049194D"/>
    <w:rsid w:val="004B1DC7"/>
    <w:rsid w:val="004B5691"/>
    <w:rsid w:val="004B7695"/>
    <w:rsid w:val="004D0F0C"/>
    <w:rsid w:val="004D76CA"/>
    <w:rsid w:val="004E5C26"/>
    <w:rsid w:val="004F0D9F"/>
    <w:rsid w:val="004F6EAD"/>
    <w:rsid w:val="004F76D9"/>
    <w:rsid w:val="004F7C9A"/>
    <w:rsid w:val="00556840"/>
    <w:rsid w:val="00557F16"/>
    <w:rsid w:val="00561AA3"/>
    <w:rsid w:val="0056562D"/>
    <w:rsid w:val="00580B97"/>
    <w:rsid w:val="0059377D"/>
    <w:rsid w:val="005A153E"/>
    <w:rsid w:val="005A4E09"/>
    <w:rsid w:val="005A679A"/>
    <w:rsid w:val="005B1593"/>
    <w:rsid w:val="005B2879"/>
    <w:rsid w:val="005C4833"/>
    <w:rsid w:val="005D7485"/>
    <w:rsid w:val="005F7EB2"/>
    <w:rsid w:val="006050A5"/>
    <w:rsid w:val="00627898"/>
    <w:rsid w:val="0063055E"/>
    <w:rsid w:val="00635DFC"/>
    <w:rsid w:val="006362B0"/>
    <w:rsid w:val="006617F5"/>
    <w:rsid w:val="006667E1"/>
    <w:rsid w:val="0067502A"/>
    <w:rsid w:val="006836A4"/>
    <w:rsid w:val="006955D0"/>
    <w:rsid w:val="006B34C6"/>
    <w:rsid w:val="006B45FE"/>
    <w:rsid w:val="006C702E"/>
    <w:rsid w:val="006C73C3"/>
    <w:rsid w:val="006D1C4F"/>
    <w:rsid w:val="006E0320"/>
    <w:rsid w:val="006E3663"/>
    <w:rsid w:val="006F4DE4"/>
    <w:rsid w:val="00730D6F"/>
    <w:rsid w:val="00746249"/>
    <w:rsid w:val="007566B5"/>
    <w:rsid w:val="0075765E"/>
    <w:rsid w:val="007630F3"/>
    <w:rsid w:val="00791DE7"/>
    <w:rsid w:val="007B1994"/>
    <w:rsid w:val="007D6942"/>
    <w:rsid w:val="007D70BC"/>
    <w:rsid w:val="00801A4A"/>
    <w:rsid w:val="00802FD7"/>
    <w:rsid w:val="008109AE"/>
    <w:rsid w:val="00815672"/>
    <w:rsid w:val="00824B4E"/>
    <w:rsid w:val="008406EE"/>
    <w:rsid w:val="0084161C"/>
    <w:rsid w:val="00846688"/>
    <w:rsid w:val="008613B2"/>
    <w:rsid w:val="00863620"/>
    <w:rsid w:val="0087629C"/>
    <w:rsid w:val="0088159C"/>
    <w:rsid w:val="008956AE"/>
    <w:rsid w:val="008C4632"/>
    <w:rsid w:val="008C64A4"/>
    <w:rsid w:val="008D265D"/>
    <w:rsid w:val="008F0A03"/>
    <w:rsid w:val="00910668"/>
    <w:rsid w:val="0091631A"/>
    <w:rsid w:val="009275A1"/>
    <w:rsid w:val="00927B27"/>
    <w:rsid w:val="009331A0"/>
    <w:rsid w:val="00945AA7"/>
    <w:rsid w:val="0095056C"/>
    <w:rsid w:val="009569BC"/>
    <w:rsid w:val="009575EC"/>
    <w:rsid w:val="00957B22"/>
    <w:rsid w:val="00961989"/>
    <w:rsid w:val="0096406A"/>
    <w:rsid w:val="00982864"/>
    <w:rsid w:val="00982D3E"/>
    <w:rsid w:val="00986AFD"/>
    <w:rsid w:val="009A0A2F"/>
    <w:rsid w:val="009A6747"/>
    <w:rsid w:val="009B361C"/>
    <w:rsid w:val="009D0D1D"/>
    <w:rsid w:val="009D2B83"/>
    <w:rsid w:val="009D537F"/>
    <w:rsid w:val="009E2748"/>
    <w:rsid w:val="00A00FF9"/>
    <w:rsid w:val="00A057E5"/>
    <w:rsid w:val="00A24A83"/>
    <w:rsid w:val="00A31938"/>
    <w:rsid w:val="00A62F93"/>
    <w:rsid w:val="00A655DF"/>
    <w:rsid w:val="00A65909"/>
    <w:rsid w:val="00A818A9"/>
    <w:rsid w:val="00A8386C"/>
    <w:rsid w:val="00A92103"/>
    <w:rsid w:val="00A956A7"/>
    <w:rsid w:val="00AA0C56"/>
    <w:rsid w:val="00AA39EC"/>
    <w:rsid w:val="00AB07D6"/>
    <w:rsid w:val="00AB08A7"/>
    <w:rsid w:val="00AC0E2F"/>
    <w:rsid w:val="00AD1C08"/>
    <w:rsid w:val="00AD7ACA"/>
    <w:rsid w:val="00AE7561"/>
    <w:rsid w:val="00AE7D9E"/>
    <w:rsid w:val="00AF3FE5"/>
    <w:rsid w:val="00AF5F72"/>
    <w:rsid w:val="00B058D2"/>
    <w:rsid w:val="00B14DD4"/>
    <w:rsid w:val="00B22A50"/>
    <w:rsid w:val="00B77926"/>
    <w:rsid w:val="00B81D4F"/>
    <w:rsid w:val="00BA7BF6"/>
    <w:rsid w:val="00BB6E61"/>
    <w:rsid w:val="00BD37BC"/>
    <w:rsid w:val="00BE1B56"/>
    <w:rsid w:val="00BE722F"/>
    <w:rsid w:val="00BF6893"/>
    <w:rsid w:val="00C074E6"/>
    <w:rsid w:val="00C16155"/>
    <w:rsid w:val="00C3064F"/>
    <w:rsid w:val="00C41628"/>
    <w:rsid w:val="00C52C55"/>
    <w:rsid w:val="00C563CA"/>
    <w:rsid w:val="00C64360"/>
    <w:rsid w:val="00C67365"/>
    <w:rsid w:val="00C73420"/>
    <w:rsid w:val="00C954EA"/>
    <w:rsid w:val="00CA427B"/>
    <w:rsid w:val="00CC7897"/>
    <w:rsid w:val="00CD7628"/>
    <w:rsid w:val="00D111C6"/>
    <w:rsid w:val="00D16822"/>
    <w:rsid w:val="00D20F76"/>
    <w:rsid w:val="00D2283A"/>
    <w:rsid w:val="00D238C7"/>
    <w:rsid w:val="00D30A87"/>
    <w:rsid w:val="00D47ECC"/>
    <w:rsid w:val="00D50564"/>
    <w:rsid w:val="00D536AE"/>
    <w:rsid w:val="00D547A2"/>
    <w:rsid w:val="00D76B1F"/>
    <w:rsid w:val="00D77464"/>
    <w:rsid w:val="00DA024E"/>
    <w:rsid w:val="00DA7B3F"/>
    <w:rsid w:val="00DB165D"/>
    <w:rsid w:val="00DB1FB8"/>
    <w:rsid w:val="00DB4AD9"/>
    <w:rsid w:val="00DE4F30"/>
    <w:rsid w:val="00DF4CA9"/>
    <w:rsid w:val="00DF5A28"/>
    <w:rsid w:val="00E10850"/>
    <w:rsid w:val="00E2311D"/>
    <w:rsid w:val="00E34465"/>
    <w:rsid w:val="00E4065B"/>
    <w:rsid w:val="00E51684"/>
    <w:rsid w:val="00E71709"/>
    <w:rsid w:val="00E76E2E"/>
    <w:rsid w:val="00EA23C6"/>
    <w:rsid w:val="00EA3648"/>
    <w:rsid w:val="00EC09DA"/>
    <w:rsid w:val="00EC56C9"/>
    <w:rsid w:val="00EE7B50"/>
    <w:rsid w:val="00F04FAE"/>
    <w:rsid w:val="00F2366D"/>
    <w:rsid w:val="00F622E3"/>
    <w:rsid w:val="00F66362"/>
    <w:rsid w:val="00F81863"/>
    <w:rsid w:val="00F911DA"/>
    <w:rsid w:val="00FA1071"/>
    <w:rsid w:val="00FA28E2"/>
    <w:rsid w:val="00FA540E"/>
    <w:rsid w:val="00FA7006"/>
    <w:rsid w:val="00FB282C"/>
    <w:rsid w:val="00FC4667"/>
    <w:rsid w:val="00FD70DA"/>
    <w:rsid w:val="00FF3E71"/>
    <w:rsid w:val="00FF3E95"/>
    <w:rsid w:val="00FF500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95"/>
    <w:pPr>
      <w:spacing w:after="120"/>
      <w:ind w:left="851"/>
    </w:pPr>
    <w:rPr>
      <w:rFonts w:ascii="Arial" w:hAnsi="Arial"/>
      <w:szCs w:val="24"/>
      <w:lang w:eastAsia="en-US"/>
    </w:rPr>
  </w:style>
  <w:style w:type="paragraph" w:styleId="Heading1">
    <w:name w:val="heading 1"/>
    <w:basedOn w:val="Normal"/>
    <w:next w:val="Normal"/>
    <w:qFormat/>
    <w:rsid w:val="00DE4F30"/>
    <w:pPr>
      <w:keepNext/>
      <w:numPr>
        <w:numId w:val="2"/>
      </w:numPr>
      <w:spacing w:before="360" w:after="60"/>
      <w:outlineLvl w:val="0"/>
    </w:pPr>
    <w:rPr>
      <w:sz w:val="32"/>
      <w:szCs w:val="20"/>
      <w:lang w:val="en-GB"/>
    </w:rPr>
  </w:style>
  <w:style w:type="paragraph" w:styleId="Heading2">
    <w:name w:val="heading 2"/>
    <w:basedOn w:val="Normal"/>
    <w:next w:val="Normal"/>
    <w:qFormat/>
    <w:rsid w:val="004F76D9"/>
    <w:pPr>
      <w:keepNext/>
      <w:numPr>
        <w:ilvl w:val="1"/>
        <w:numId w:val="2"/>
      </w:numPr>
      <w:spacing w:before="80" w:after="65" w:line="240" w:lineRule="atLeast"/>
      <w:outlineLvl w:val="1"/>
    </w:pPr>
    <w:rPr>
      <w:rFonts w:ascii="Arial Bold" w:eastAsia="Times" w:hAnsi="Arial Bold"/>
      <w:b/>
      <w:sz w:val="24"/>
      <w:szCs w:val="20"/>
    </w:rPr>
  </w:style>
  <w:style w:type="paragraph" w:styleId="Heading3">
    <w:name w:val="heading 3"/>
    <w:basedOn w:val="Normal"/>
    <w:next w:val="Normal"/>
    <w:qFormat/>
    <w:rsid w:val="00FF3E95"/>
    <w:pPr>
      <w:keepNext/>
      <w:numPr>
        <w:ilvl w:val="2"/>
        <w:numId w:val="2"/>
      </w:numPr>
      <w:outlineLvl w:val="2"/>
    </w:pPr>
  </w:style>
  <w:style w:type="paragraph" w:styleId="Heading4">
    <w:name w:val="heading 4"/>
    <w:basedOn w:val="Normal"/>
    <w:next w:val="Normal"/>
    <w:qFormat/>
    <w:rsid w:val="00DE4F30"/>
    <w:pPr>
      <w:keepNext/>
      <w:numPr>
        <w:ilvl w:val="3"/>
        <w:numId w:val="2"/>
      </w:numPr>
      <w:outlineLvl w:val="3"/>
    </w:pPr>
    <w:rPr>
      <w:color w:val="5C8A00"/>
      <w:sz w:val="56"/>
    </w:rPr>
  </w:style>
  <w:style w:type="paragraph" w:styleId="Heading5">
    <w:name w:val="heading 5"/>
    <w:basedOn w:val="Normal"/>
    <w:next w:val="Normal"/>
    <w:qFormat/>
    <w:rsid w:val="00DE4F30"/>
    <w:pPr>
      <w:numPr>
        <w:ilvl w:val="4"/>
        <w:numId w:val="2"/>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53749"/>
    <w:rPr>
      <w:szCs w:val="20"/>
    </w:rPr>
  </w:style>
  <w:style w:type="character" w:styleId="FootnoteReference">
    <w:name w:val="footnote reference"/>
    <w:semiHidden/>
    <w:rsid w:val="00253749"/>
    <w:rPr>
      <w:vertAlign w:val="superscript"/>
    </w:rPr>
  </w:style>
  <w:style w:type="paragraph" w:styleId="Footer">
    <w:name w:val="footer"/>
    <w:basedOn w:val="Normal"/>
    <w:semiHidden/>
    <w:rsid w:val="00253749"/>
    <w:pPr>
      <w:tabs>
        <w:tab w:val="center" w:pos="4153"/>
        <w:tab w:val="right" w:pos="8306"/>
      </w:tabs>
    </w:pPr>
  </w:style>
  <w:style w:type="character" w:styleId="PageNumber">
    <w:name w:val="page number"/>
    <w:basedOn w:val="DefaultParagraphFont"/>
    <w:semiHidden/>
    <w:rsid w:val="00253749"/>
  </w:style>
  <w:style w:type="paragraph" w:styleId="Header">
    <w:name w:val="header"/>
    <w:basedOn w:val="Normal"/>
    <w:semiHidden/>
    <w:rsid w:val="00253749"/>
    <w:pPr>
      <w:tabs>
        <w:tab w:val="center" w:pos="4153"/>
        <w:tab w:val="right" w:pos="8306"/>
      </w:tabs>
    </w:pPr>
  </w:style>
  <w:style w:type="paragraph" w:styleId="BodyText2">
    <w:name w:val="Body Text 2"/>
    <w:basedOn w:val="Normal"/>
    <w:semiHidden/>
    <w:rsid w:val="00253749"/>
    <w:rPr>
      <w:rFonts w:ascii="DINMittelschrift" w:eastAsia="Times" w:hAnsi="DINMittelschrift"/>
      <w:sz w:val="22"/>
      <w:szCs w:val="20"/>
    </w:rPr>
  </w:style>
  <w:style w:type="character" w:styleId="Hyperlink">
    <w:name w:val="Hyperlink"/>
    <w:semiHidden/>
    <w:rsid w:val="00253749"/>
    <w:rPr>
      <w:color w:val="0000FF"/>
      <w:u w:val="single"/>
    </w:rPr>
  </w:style>
  <w:style w:type="paragraph" w:styleId="ListBullet">
    <w:name w:val="List Bullet"/>
    <w:basedOn w:val="Normal"/>
    <w:rsid w:val="009575EC"/>
    <w:pPr>
      <w:ind w:left="0"/>
    </w:pPr>
  </w:style>
  <w:style w:type="paragraph" w:customStyle="1" w:styleId="NoTOCHdg1">
    <w:name w:val="NoTOCHdg 1"/>
    <w:basedOn w:val="Normal"/>
    <w:rsid w:val="00DE4F30"/>
    <w:pPr>
      <w:numPr>
        <w:ilvl w:val="5"/>
        <w:numId w:val="2"/>
      </w:numPr>
    </w:pPr>
  </w:style>
  <w:style w:type="paragraph" w:customStyle="1" w:styleId="NoTOCHdg2">
    <w:name w:val="NoTOCHdg 2"/>
    <w:basedOn w:val="Normal"/>
    <w:rsid w:val="00DE4F30"/>
    <w:pPr>
      <w:numPr>
        <w:ilvl w:val="6"/>
        <w:numId w:val="2"/>
      </w:numPr>
    </w:pPr>
  </w:style>
  <w:style w:type="paragraph" w:customStyle="1" w:styleId="NoTOCHdg3">
    <w:name w:val="NoTOCHdg 3"/>
    <w:basedOn w:val="Normal"/>
    <w:rsid w:val="00DE4F30"/>
    <w:pPr>
      <w:numPr>
        <w:ilvl w:val="7"/>
        <w:numId w:val="2"/>
      </w:numPr>
    </w:pPr>
  </w:style>
  <w:style w:type="paragraph" w:customStyle="1" w:styleId="NoTOCHdg4">
    <w:name w:val="NoTOCHdg 4"/>
    <w:basedOn w:val="Normal"/>
    <w:rsid w:val="00DE4F30"/>
    <w:pPr>
      <w:numPr>
        <w:ilvl w:val="8"/>
        <w:numId w:val="2"/>
      </w:numPr>
    </w:pPr>
  </w:style>
  <w:style w:type="paragraph" w:styleId="BodyText">
    <w:name w:val="Body Text"/>
    <w:basedOn w:val="Normal"/>
    <w:link w:val="BodyTextChar"/>
    <w:uiPriority w:val="99"/>
    <w:unhideWhenUsed/>
    <w:rsid w:val="00081BCB"/>
    <w:rPr>
      <w:lang/>
    </w:rPr>
  </w:style>
  <w:style w:type="character" w:customStyle="1" w:styleId="BodyTextChar">
    <w:name w:val="Body Text Char"/>
    <w:link w:val="BodyText"/>
    <w:uiPriority w:val="99"/>
    <w:rsid w:val="00081BCB"/>
    <w:rPr>
      <w:rFonts w:ascii="Arial" w:hAnsi="Arial"/>
      <w:szCs w:val="24"/>
      <w:lang w:eastAsia="en-US"/>
    </w:rPr>
  </w:style>
  <w:style w:type="paragraph" w:styleId="ListBullet2">
    <w:name w:val="List Bullet 2"/>
    <w:basedOn w:val="Normal"/>
    <w:semiHidden/>
    <w:rsid w:val="00081BCB"/>
    <w:pPr>
      <w:numPr>
        <w:numId w:val="3"/>
      </w:numPr>
    </w:pPr>
    <w:rPr>
      <w:szCs w:val="20"/>
      <w:lang w:eastAsia="en-AU"/>
    </w:rPr>
  </w:style>
  <w:style w:type="paragraph" w:styleId="BalloonText">
    <w:name w:val="Balloon Text"/>
    <w:basedOn w:val="Normal"/>
    <w:link w:val="BalloonTextChar"/>
    <w:uiPriority w:val="99"/>
    <w:semiHidden/>
    <w:unhideWhenUsed/>
    <w:rsid w:val="00296EDA"/>
    <w:pPr>
      <w:spacing w:after="0"/>
    </w:pPr>
    <w:rPr>
      <w:rFonts w:ascii="Tahoma" w:hAnsi="Tahoma"/>
      <w:sz w:val="16"/>
      <w:szCs w:val="16"/>
      <w:lang/>
    </w:rPr>
  </w:style>
  <w:style w:type="character" w:customStyle="1" w:styleId="BalloonTextChar">
    <w:name w:val="Balloon Text Char"/>
    <w:link w:val="BalloonText"/>
    <w:uiPriority w:val="99"/>
    <w:semiHidden/>
    <w:rsid w:val="00296E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95"/>
    <w:pPr>
      <w:spacing w:after="120"/>
      <w:ind w:left="851"/>
    </w:pPr>
    <w:rPr>
      <w:rFonts w:ascii="Arial" w:hAnsi="Arial"/>
      <w:szCs w:val="24"/>
      <w:lang w:eastAsia="en-US"/>
    </w:rPr>
  </w:style>
  <w:style w:type="paragraph" w:styleId="Heading1">
    <w:name w:val="heading 1"/>
    <w:basedOn w:val="Normal"/>
    <w:next w:val="Normal"/>
    <w:qFormat/>
    <w:rsid w:val="00DE4F30"/>
    <w:pPr>
      <w:keepNext/>
      <w:numPr>
        <w:numId w:val="2"/>
      </w:numPr>
      <w:spacing w:before="360" w:after="60"/>
      <w:outlineLvl w:val="0"/>
    </w:pPr>
    <w:rPr>
      <w:sz w:val="32"/>
      <w:szCs w:val="20"/>
      <w:lang w:val="en-GB"/>
    </w:rPr>
  </w:style>
  <w:style w:type="paragraph" w:styleId="Heading2">
    <w:name w:val="heading 2"/>
    <w:basedOn w:val="Normal"/>
    <w:next w:val="Normal"/>
    <w:qFormat/>
    <w:rsid w:val="004F76D9"/>
    <w:pPr>
      <w:keepNext/>
      <w:numPr>
        <w:ilvl w:val="1"/>
        <w:numId w:val="2"/>
      </w:numPr>
      <w:spacing w:before="80" w:after="65" w:line="240" w:lineRule="atLeast"/>
      <w:outlineLvl w:val="1"/>
    </w:pPr>
    <w:rPr>
      <w:rFonts w:ascii="Arial Bold" w:eastAsia="Times" w:hAnsi="Arial Bold"/>
      <w:b/>
      <w:sz w:val="24"/>
      <w:szCs w:val="20"/>
    </w:rPr>
  </w:style>
  <w:style w:type="paragraph" w:styleId="Heading3">
    <w:name w:val="heading 3"/>
    <w:basedOn w:val="Normal"/>
    <w:next w:val="Normal"/>
    <w:qFormat/>
    <w:rsid w:val="00FF3E95"/>
    <w:pPr>
      <w:keepNext/>
      <w:numPr>
        <w:ilvl w:val="2"/>
        <w:numId w:val="2"/>
      </w:numPr>
      <w:outlineLvl w:val="2"/>
    </w:pPr>
  </w:style>
  <w:style w:type="paragraph" w:styleId="Heading4">
    <w:name w:val="heading 4"/>
    <w:basedOn w:val="Normal"/>
    <w:next w:val="Normal"/>
    <w:qFormat/>
    <w:rsid w:val="00DE4F30"/>
    <w:pPr>
      <w:keepNext/>
      <w:numPr>
        <w:ilvl w:val="3"/>
        <w:numId w:val="2"/>
      </w:numPr>
      <w:outlineLvl w:val="3"/>
    </w:pPr>
    <w:rPr>
      <w:color w:val="5C8A00"/>
      <w:sz w:val="56"/>
    </w:rPr>
  </w:style>
  <w:style w:type="paragraph" w:styleId="Heading5">
    <w:name w:val="heading 5"/>
    <w:basedOn w:val="Normal"/>
    <w:next w:val="Normal"/>
    <w:qFormat/>
    <w:rsid w:val="00DE4F30"/>
    <w:pPr>
      <w:numPr>
        <w:ilvl w:val="4"/>
        <w:numId w:val="2"/>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53749"/>
    <w:rPr>
      <w:szCs w:val="20"/>
    </w:rPr>
  </w:style>
  <w:style w:type="character" w:styleId="FootnoteReference">
    <w:name w:val="footnote reference"/>
    <w:semiHidden/>
    <w:rsid w:val="00253749"/>
    <w:rPr>
      <w:vertAlign w:val="superscript"/>
    </w:rPr>
  </w:style>
  <w:style w:type="paragraph" w:styleId="Footer">
    <w:name w:val="footer"/>
    <w:basedOn w:val="Normal"/>
    <w:semiHidden/>
    <w:rsid w:val="00253749"/>
    <w:pPr>
      <w:tabs>
        <w:tab w:val="center" w:pos="4153"/>
        <w:tab w:val="right" w:pos="8306"/>
      </w:tabs>
    </w:pPr>
  </w:style>
  <w:style w:type="character" w:styleId="PageNumber">
    <w:name w:val="page number"/>
    <w:basedOn w:val="DefaultParagraphFont"/>
    <w:semiHidden/>
    <w:rsid w:val="00253749"/>
  </w:style>
  <w:style w:type="paragraph" w:styleId="Header">
    <w:name w:val="header"/>
    <w:basedOn w:val="Normal"/>
    <w:semiHidden/>
    <w:rsid w:val="00253749"/>
    <w:pPr>
      <w:tabs>
        <w:tab w:val="center" w:pos="4153"/>
        <w:tab w:val="right" w:pos="8306"/>
      </w:tabs>
    </w:pPr>
  </w:style>
  <w:style w:type="paragraph" w:styleId="BodyText2">
    <w:name w:val="Body Text 2"/>
    <w:basedOn w:val="Normal"/>
    <w:semiHidden/>
    <w:rsid w:val="00253749"/>
    <w:rPr>
      <w:rFonts w:ascii="DINMittelschrift" w:eastAsia="Times" w:hAnsi="DINMittelschrift"/>
      <w:sz w:val="22"/>
      <w:szCs w:val="20"/>
    </w:rPr>
  </w:style>
  <w:style w:type="character" w:styleId="Hyperlink">
    <w:name w:val="Hyperlink"/>
    <w:semiHidden/>
    <w:rsid w:val="00253749"/>
    <w:rPr>
      <w:color w:val="0000FF"/>
      <w:u w:val="single"/>
    </w:rPr>
  </w:style>
  <w:style w:type="paragraph" w:styleId="ListBullet">
    <w:name w:val="List Bullet"/>
    <w:basedOn w:val="Normal"/>
    <w:rsid w:val="009575EC"/>
    <w:pPr>
      <w:ind w:left="0"/>
    </w:pPr>
  </w:style>
  <w:style w:type="paragraph" w:customStyle="1" w:styleId="NoTOCHdg1">
    <w:name w:val="NoTOCHdg 1"/>
    <w:basedOn w:val="Normal"/>
    <w:rsid w:val="00DE4F30"/>
    <w:pPr>
      <w:numPr>
        <w:ilvl w:val="5"/>
        <w:numId w:val="2"/>
      </w:numPr>
    </w:pPr>
  </w:style>
  <w:style w:type="paragraph" w:customStyle="1" w:styleId="NoTOCHdg2">
    <w:name w:val="NoTOCHdg 2"/>
    <w:basedOn w:val="Normal"/>
    <w:rsid w:val="00DE4F30"/>
    <w:pPr>
      <w:numPr>
        <w:ilvl w:val="6"/>
        <w:numId w:val="2"/>
      </w:numPr>
    </w:pPr>
  </w:style>
  <w:style w:type="paragraph" w:customStyle="1" w:styleId="NoTOCHdg3">
    <w:name w:val="NoTOCHdg 3"/>
    <w:basedOn w:val="Normal"/>
    <w:rsid w:val="00DE4F30"/>
    <w:pPr>
      <w:numPr>
        <w:ilvl w:val="7"/>
        <w:numId w:val="2"/>
      </w:numPr>
    </w:pPr>
  </w:style>
  <w:style w:type="paragraph" w:customStyle="1" w:styleId="NoTOCHdg4">
    <w:name w:val="NoTOCHdg 4"/>
    <w:basedOn w:val="Normal"/>
    <w:rsid w:val="00DE4F30"/>
    <w:pPr>
      <w:numPr>
        <w:ilvl w:val="8"/>
        <w:numId w:val="2"/>
      </w:numPr>
    </w:pPr>
  </w:style>
  <w:style w:type="paragraph" w:styleId="BodyText">
    <w:name w:val="Body Text"/>
    <w:basedOn w:val="Normal"/>
    <w:link w:val="BodyTextChar"/>
    <w:uiPriority w:val="99"/>
    <w:unhideWhenUsed/>
    <w:rsid w:val="00081BCB"/>
    <w:rPr>
      <w:lang w:val="x-none"/>
    </w:rPr>
  </w:style>
  <w:style w:type="character" w:customStyle="1" w:styleId="BodyTextChar">
    <w:name w:val="Body Text Char"/>
    <w:link w:val="BodyText"/>
    <w:uiPriority w:val="99"/>
    <w:rsid w:val="00081BCB"/>
    <w:rPr>
      <w:rFonts w:ascii="Arial" w:hAnsi="Arial"/>
      <w:szCs w:val="24"/>
      <w:lang w:eastAsia="en-US"/>
    </w:rPr>
  </w:style>
  <w:style w:type="paragraph" w:styleId="ListBullet2">
    <w:name w:val="List Bullet 2"/>
    <w:basedOn w:val="Normal"/>
    <w:semiHidden/>
    <w:rsid w:val="00081BCB"/>
    <w:pPr>
      <w:numPr>
        <w:numId w:val="3"/>
      </w:numPr>
    </w:pPr>
    <w:rPr>
      <w:szCs w:val="20"/>
      <w:lang w:eastAsia="en-AU"/>
    </w:rPr>
  </w:style>
  <w:style w:type="paragraph" w:styleId="BalloonText">
    <w:name w:val="Balloon Text"/>
    <w:basedOn w:val="Normal"/>
    <w:link w:val="BalloonTextChar"/>
    <w:uiPriority w:val="99"/>
    <w:semiHidden/>
    <w:unhideWhenUsed/>
    <w:rsid w:val="00296EDA"/>
    <w:pPr>
      <w:spacing w:after="0"/>
    </w:pPr>
    <w:rPr>
      <w:rFonts w:ascii="Tahoma" w:hAnsi="Tahoma"/>
      <w:sz w:val="16"/>
      <w:szCs w:val="16"/>
      <w:lang w:val="x-none"/>
    </w:rPr>
  </w:style>
  <w:style w:type="character" w:customStyle="1" w:styleId="BalloonTextChar">
    <w:name w:val="Balloon Text Char"/>
    <w:link w:val="BalloonText"/>
    <w:uiPriority w:val="99"/>
    <w:semiHidden/>
    <w:rsid w:val="00296ED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E083-04F2-4EB6-8E4F-B208CBFFBAE5}">
  <ds:schemaRefs>
    <ds:schemaRef ds:uri="http://schemas.openxmlformats.org/officeDocument/2006/bibliography"/>
  </ds:schemaRefs>
</ds:datastoreItem>
</file>

<file path=customXml/itemProps2.xml><?xml version="1.0" encoding="utf-8"?>
<ds:datastoreItem xmlns:ds="http://schemas.openxmlformats.org/officeDocument/2006/customXml" ds:itemID="{B3B2C8D5-1E3D-4FD3-B6DE-5569E338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9349</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GAPE DAAU Submission - 30.10.12</vt:lpstr>
    </vt:vector>
  </TitlesOfParts>
  <Company>IARG</Company>
  <LinksUpToDate>false</LinksUpToDate>
  <CharactersWithSpaces>11059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GAPE DAAU Submission - 30.10.12</dc:title>
  <dc:creator>davidr</dc:creator>
  <cp:lastModifiedBy>LJS 9 June</cp:lastModifiedBy>
  <cp:revision>2</cp:revision>
  <cp:lastPrinted>2014-11-07T01:34:00Z</cp:lastPrinted>
  <dcterms:created xsi:type="dcterms:W3CDTF">2014-11-18T06:32:00Z</dcterms:created>
  <dcterms:modified xsi:type="dcterms:W3CDTF">2014-11-18T06:32:00Z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Title">
    <vt:lpwstr>QRC submission to QCA - Standard Connection Agreement</vt:lpwstr>
  </property>
  <property fmtid="{D5CDD505-2E9C-101B-9397-08002B2CF9AE}" pid="3" name="Item Subject">
    <vt:lpwstr/>
  </property>
  <property fmtid="{D5CDD505-2E9C-101B-9397-08002B2CF9AE}" pid="4" name="Freehills_matterName">
    <vt:lpwstr/>
  </property>
  <property fmtid="{D5CDD505-2E9C-101B-9397-08002B2CF9AE}" pid="5" name="Freehills_matterNumber">
    <vt:lpwstr/>
  </property>
  <property fmtid="{D5CDD505-2E9C-101B-9397-08002B2CF9AE}" pid="6" name="Item Primary Author">
    <vt:lpwstr/>
  </property>
  <property fmtid="{D5CDD505-2E9C-101B-9397-08002B2CF9AE}" pid="7" name="Item Primary Author ID">
    <vt:lpwstr/>
  </property>
  <property fmtid="{D5CDD505-2E9C-101B-9397-08002B2CF9AE}" pid="8" name="Freehills_PrimaryAuthorBrand">
    <vt:lpwstr/>
  </property>
  <property fmtid="{D5CDD505-2E9C-101B-9397-08002B2CF9AE}" pid="9" name="Item Document Type">
    <vt:lpwstr/>
  </property>
  <property fmtid="{D5CDD505-2E9C-101B-9397-08002B2CF9AE}" pid="10" name="DMS Class Label">
    <vt:lpwstr/>
  </property>
  <property fmtid="{D5CDD505-2E9C-101B-9397-08002B2CF9AE}" pid="11" name="DMS Item ID">
    <vt:lpwstr>18730739</vt:lpwstr>
  </property>
  <property fmtid="{D5CDD505-2E9C-101B-9397-08002B2CF9AE}" pid="12" name="DMS Library Name">
    <vt:lpwstr>Active</vt:lpwstr>
  </property>
  <property fmtid="{D5CDD505-2E9C-101B-9397-08002B2CF9AE}" pid="13" name="DMS Library ID">
    <vt:lpwstr>I</vt:lpwstr>
  </property>
  <property fmtid="{D5CDD505-2E9C-101B-9397-08002B2CF9AE}" pid="14" name="DMS Status">
    <vt:lpwstr/>
  </property>
  <property fmtid="{D5CDD505-2E9C-101B-9397-08002B2CF9AE}" pid="15" name="DMS Version">
    <vt:lpwstr>1</vt:lpwstr>
  </property>
  <property fmtid="{D5CDD505-2E9C-101B-9397-08002B2CF9AE}" pid="16" name="Item Previous Reference">
    <vt:lpwstr/>
  </property>
  <property fmtid="{D5CDD505-2E9C-101B-9397-08002B2CF9AE}" pid="17" name="MAIL_MSG_ID1">
    <vt:lpwstr>GEAAO+/T9t20xwkKtX7TxMDCJPuwtwWc4aP/sSaSu9iy6cwXliX5NK02MdyV+FkGx6vlrrZuL4BxHfcW
Dw3hgRIY8cdhnct+Pk/6Q8shRTjprTxZz+ErAoeDJlLpqCJq3M5sZMcQEVeBfJ0iSPJ+cOTKkpdC
Hs4G+LO2kgIG5+zsqa8qp7ztKm1NYC/rDxX7YhGUc4K0DLL5wYGmXRVdMaGdgsHQsT4u98EIXc2U
vVQN7Oyg/nRAa+lft</vt:lpwstr>
  </property>
  <property fmtid="{D5CDD505-2E9C-101B-9397-08002B2CF9AE}" pid="18" name="RESPONSE_SENDER_NAME">
    <vt:lpwstr>gAAAdya76B99d4hLGUR1rQ+8TxTv0GGEPdix</vt:lpwstr>
  </property>
  <property fmtid="{D5CDD505-2E9C-101B-9397-08002B2CF9AE}" pid="19" name="EMAIL_OWNER_ADDRESS">
    <vt:lpwstr>4AAA9DNYQidmug7fiSuX7JHmt8BHaY56l4a/NZXM+tBN8PSSz1/qyyDsjQ==</vt:lpwstr>
  </property>
  <property fmtid="{D5CDD505-2E9C-101B-9397-08002B2CF9AE}" pid="20" name="MAIL_MSG_ID2">
    <vt:lpwstr>XuXw6ot7cwo</vt:lpwstr>
  </property>
</Properties>
</file>